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368B6" w14:textId="77777777" w:rsidR="004F4E2C" w:rsidRPr="00553D6A" w:rsidRDefault="00EF0983"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Pazienti lettori,</w:t>
      </w:r>
    </w:p>
    <w:p w14:paraId="01217C96" w14:textId="6C0839DE" w:rsidR="000965AB" w:rsidRPr="00553D6A" w:rsidRDefault="00EF0983"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i</w:t>
      </w:r>
      <w:r w:rsidR="00F3623C" w:rsidRPr="00553D6A">
        <w:rPr>
          <w:rFonts w:ascii="Arial" w:hAnsi="Arial" w:cs="Arial"/>
          <w:iCs/>
          <w:color w:val="002060"/>
          <w:sz w:val="24"/>
          <w:szCs w:val="24"/>
        </w:rPr>
        <w:t xml:space="preserve">l ringraziamento per </w:t>
      </w:r>
      <w:r w:rsidR="008C7399" w:rsidRPr="00553D6A">
        <w:rPr>
          <w:rFonts w:ascii="Arial" w:hAnsi="Arial" w:cs="Arial"/>
          <w:iCs/>
          <w:color w:val="002060"/>
          <w:sz w:val="24"/>
          <w:szCs w:val="24"/>
        </w:rPr>
        <w:t>le azioni</w:t>
      </w:r>
      <w:r w:rsidR="00F3623C" w:rsidRPr="00553D6A">
        <w:rPr>
          <w:rFonts w:ascii="Arial" w:hAnsi="Arial" w:cs="Arial"/>
          <w:iCs/>
          <w:color w:val="002060"/>
          <w:sz w:val="24"/>
          <w:szCs w:val="24"/>
        </w:rPr>
        <w:t xml:space="preserve"> fatt</w:t>
      </w:r>
      <w:r w:rsidR="008C7399" w:rsidRPr="00553D6A">
        <w:rPr>
          <w:rFonts w:ascii="Arial" w:hAnsi="Arial" w:cs="Arial"/>
          <w:iCs/>
          <w:color w:val="002060"/>
          <w:sz w:val="24"/>
          <w:szCs w:val="24"/>
        </w:rPr>
        <w:t>e</w:t>
      </w:r>
      <w:r w:rsidR="00F3623C" w:rsidRPr="00553D6A">
        <w:rPr>
          <w:rFonts w:ascii="Arial" w:hAnsi="Arial" w:cs="Arial"/>
          <w:iCs/>
          <w:color w:val="002060"/>
          <w:sz w:val="24"/>
          <w:szCs w:val="24"/>
        </w:rPr>
        <w:t xml:space="preserve"> dal dr Pepe per la emersione delle vessazioni subite </w:t>
      </w:r>
      <w:r w:rsidR="00E92FEB" w:rsidRPr="00553D6A">
        <w:rPr>
          <w:rFonts w:ascii="Arial" w:hAnsi="Arial" w:cs="Arial"/>
          <w:iCs/>
          <w:color w:val="002060"/>
          <w:sz w:val="24"/>
          <w:szCs w:val="24"/>
        </w:rPr>
        <w:t xml:space="preserve">e </w:t>
      </w:r>
      <w:proofErr w:type="spellStart"/>
      <w:r w:rsidR="00E92FEB" w:rsidRPr="00553D6A">
        <w:rPr>
          <w:rFonts w:ascii="Arial" w:hAnsi="Arial" w:cs="Arial"/>
          <w:iCs/>
          <w:color w:val="002060"/>
          <w:sz w:val="24"/>
          <w:szCs w:val="24"/>
        </w:rPr>
        <w:t>subende</w:t>
      </w:r>
      <w:proofErr w:type="spellEnd"/>
      <w:r w:rsidR="00E92FEB" w:rsidRPr="00553D6A">
        <w:rPr>
          <w:rFonts w:ascii="Arial" w:hAnsi="Arial" w:cs="Arial"/>
          <w:iCs/>
          <w:color w:val="002060"/>
          <w:sz w:val="24"/>
          <w:szCs w:val="24"/>
        </w:rPr>
        <w:t xml:space="preserve"> </w:t>
      </w:r>
      <w:r w:rsidR="00F3623C" w:rsidRPr="00553D6A">
        <w:rPr>
          <w:rFonts w:ascii="Arial" w:hAnsi="Arial" w:cs="Arial"/>
          <w:iCs/>
          <w:color w:val="002060"/>
          <w:sz w:val="24"/>
          <w:szCs w:val="24"/>
        </w:rPr>
        <w:t xml:space="preserve">dagli </w:t>
      </w:r>
      <w:proofErr w:type="spellStart"/>
      <w:r w:rsidR="00F3623C" w:rsidRPr="00553D6A">
        <w:rPr>
          <w:rFonts w:ascii="Arial" w:hAnsi="Arial" w:cs="Arial"/>
          <w:iCs/>
          <w:color w:val="002060"/>
          <w:sz w:val="24"/>
          <w:szCs w:val="24"/>
        </w:rPr>
        <w:t>Ippocampesi</w:t>
      </w:r>
      <w:proofErr w:type="spellEnd"/>
      <w:r w:rsidR="000965AB" w:rsidRPr="00553D6A">
        <w:rPr>
          <w:rFonts w:ascii="Arial" w:hAnsi="Arial" w:cs="Arial"/>
          <w:iCs/>
          <w:color w:val="002060"/>
          <w:sz w:val="24"/>
          <w:szCs w:val="24"/>
        </w:rPr>
        <w:t>,</w:t>
      </w:r>
      <w:r w:rsidR="00F3623C" w:rsidRPr="00553D6A">
        <w:rPr>
          <w:rFonts w:ascii="Arial" w:hAnsi="Arial" w:cs="Arial"/>
          <w:iCs/>
          <w:color w:val="002060"/>
          <w:sz w:val="24"/>
          <w:szCs w:val="24"/>
        </w:rPr>
        <w:t xml:space="preserve"> soprattutto per le </w:t>
      </w:r>
      <w:r w:rsidR="00E92FEB" w:rsidRPr="00553D6A">
        <w:rPr>
          <w:rFonts w:ascii="Arial" w:hAnsi="Arial" w:cs="Arial"/>
          <w:iCs/>
          <w:color w:val="002060"/>
          <w:sz w:val="24"/>
          <w:szCs w:val="24"/>
        </w:rPr>
        <w:t>a</w:t>
      </w:r>
      <w:r w:rsidR="00F3623C" w:rsidRPr="00553D6A">
        <w:rPr>
          <w:rFonts w:ascii="Arial" w:hAnsi="Arial" w:cs="Arial"/>
          <w:iCs/>
          <w:color w:val="002060"/>
          <w:sz w:val="24"/>
          <w:szCs w:val="24"/>
        </w:rPr>
        <w:t>ssurde e comode posizioni assunte dalla municipalità di Manfredonia</w:t>
      </w:r>
      <w:r w:rsidR="00F76CFC">
        <w:rPr>
          <w:rFonts w:ascii="Arial" w:hAnsi="Arial" w:cs="Arial"/>
          <w:iCs/>
          <w:color w:val="002060"/>
          <w:sz w:val="24"/>
          <w:szCs w:val="24"/>
        </w:rPr>
        <w:t>,</w:t>
      </w:r>
      <w:r w:rsidR="00F3623C" w:rsidRPr="00553D6A">
        <w:rPr>
          <w:rFonts w:ascii="Arial" w:hAnsi="Arial" w:cs="Arial"/>
          <w:iCs/>
          <w:color w:val="002060"/>
          <w:sz w:val="24"/>
          <w:szCs w:val="24"/>
        </w:rPr>
        <w:t xml:space="preserve"> di concerto </w:t>
      </w:r>
      <w:r w:rsidR="0050585D" w:rsidRPr="00553D6A">
        <w:rPr>
          <w:rFonts w:ascii="Arial" w:hAnsi="Arial" w:cs="Arial"/>
          <w:iCs/>
          <w:color w:val="002060"/>
          <w:sz w:val="24"/>
          <w:szCs w:val="24"/>
        </w:rPr>
        <w:t>(</w:t>
      </w:r>
      <w:r w:rsidR="00F3623C" w:rsidRPr="00553D6A">
        <w:rPr>
          <w:rFonts w:ascii="Arial" w:hAnsi="Arial" w:cs="Arial"/>
          <w:iCs/>
          <w:color w:val="002060"/>
          <w:sz w:val="24"/>
          <w:szCs w:val="24"/>
        </w:rPr>
        <w:t>fin che ha potuto</w:t>
      </w:r>
      <w:r w:rsidR="0050585D" w:rsidRPr="00553D6A">
        <w:rPr>
          <w:rFonts w:ascii="Arial" w:hAnsi="Arial" w:cs="Arial"/>
          <w:iCs/>
          <w:color w:val="002060"/>
          <w:sz w:val="24"/>
          <w:szCs w:val="24"/>
        </w:rPr>
        <w:t>)</w:t>
      </w:r>
      <w:r w:rsidR="00F3623C" w:rsidRPr="00553D6A">
        <w:rPr>
          <w:rFonts w:ascii="Arial" w:hAnsi="Arial" w:cs="Arial"/>
          <w:iCs/>
          <w:color w:val="002060"/>
          <w:sz w:val="24"/>
          <w:szCs w:val="24"/>
        </w:rPr>
        <w:t xml:space="preserve"> con la ITI</w:t>
      </w:r>
      <w:r w:rsidR="0050585D" w:rsidRPr="00553D6A">
        <w:rPr>
          <w:rFonts w:ascii="Arial" w:hAnsi="Arial" w:cs="Arial"/>
          <w:iCs/>
          <w:color w:val="002060"/>
          <w:sz w:val="24"/>
          <w:szCs w:val="24"/>
        </w:rPr>
        <w:t>,</w:t>
      </w:r>
      <w:r w:rsidR="000965AB" w:rsidRPr="00553D6A">
        <w:rPr>
          <w:rFonts w:ascii="Arial" w:hAnsi="Arial" w:cs="Arial"/>
          <w:iCs/>
          <w:color w:val="002060"/>
          <w:sz w:val="24"/>
          <w:szCs w:val="24"/>
        </w:rPr>
        <w:t xml:space="preserve"> </w:t>
      </w:r>
      <w:r w:rsidR="00F3623C" w:rsidRPr="00553D6A">
        <w:rPr>
          <w:rFonts w:ascii="Arial" w:hAnsi="Arial" w:cs="Arial"/>
          <w:iCs/>
          <w:color w:val="002060"/>
          <w:sz w:val="24"/>
          <w:szCs w:val="24"/>
        </w:rPr>
        <w:t xml:space="preserve">è cosa </w:t>
      </w:r>
      <w:r w:rsidR="00D91B19" w:rsidRPr="00553D6A">
        <w:rPr>
          <w:rFonts w:ascii="Arial" w:hAnsi="Arial" w:cs="Arial"/>
          <w:iCs/>
          <w:color w:val="002060"/>
          <w:sz w:val="24"/>
          <w:szCs w:val="24"/>
        </w:rPr>
        <w:t>dovuta</w:t>
      </w:r>
      <w:r w:rsidR="00F3623C" w:rsidRPr="00553D6A">
        <w:rPr>
          <w:rFonts w:ascii="Arial" w:hAnsi="Arial" w:cs="Arial"/>
          <w:iCs/>
          <w:color w:val="002060"/>
          <w:sz w:val="24"/>
          <w:szCs w:val="24"/>
        </w:rPr>
        <w:t xml:space="preserve">. </w:t>
      </w:r>
    </w:p>
    <w:p w14:paraId="0033F76B" w14:textId="5F9467BB" w:rsidR="00F3623C" w:rsidRPr="00553D6A" w:rsidRDefault="00F3623C"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Ciò nonostante</w:t>
      </w:r>
      <w:r w:rsidR="000965AB" w:rsidRPr="00553D6A">
        <w:rPr>
          <w:rFonts w:ascii="Arial" w:hAnsi="Arial" w:cs="Arial"/>
          <w:iCs/>
          <w:color w:val="002060"/>
          <w:sz w:val="24"/>
          <w:szCs w:val="24"/>
        </w:rPr>
        <w:t>,</w:t>
      </w:r>
      <w:r w:rsidRPr="00553D6A">
        <w:rPr>
          <w:rFonts w:ascii="Arial" w:hAnsi="Arial" w:cs="Arial"/>
          <w:iCs/>
          <w:color w:val="002060"/>
          <w:sz w:val="24"/>
          <w:szCs w:val="24"/>
        </w:rPr>
        <w:t xml:space="preserve"> </w:t>
      </w:r>
      <w:r w:rsidR="00CB4A88" w:rsidRPr="00553D6A">
        <w:rPr>
          <w:rFonts w:ascii="Arial" w:hAnsi="Arial" w:cs="Arial"/>
          <w:iCs/>
          <w:color w:val="002060"/>
          <w:sz w:val="24"/>
          <w:szCs w:val="24"/>
        </w:rPr>
        <w:t xml:space="preserve">ritengo che </w:t>
      </w:r>
      <w:r w:rsidRPr="00553D6A">
        <w:rPr>
          <w:rFonts w:ascii="Arial" w:hAnsi="Arial" w:cs="Arial"/>
          <w:iCs/>
          <w:color w:val="002060"/>
          <w:sz w:val="24"/>
          <w:szCs w:val="24"/>
        </w:rPr>
        <w:t>alcune affermazioni</w:t>
      </w:r>
      <w:r w:rsidR="00B220F7" w:rsidRPr="00553D6A">
        <w:rPr>
          <w:rFonts w:ascii="Arial" w:hAnsi="Arial" w:cs="Arial"/>
          <w:iCs/>
          <w:color w:val="002060"/>
          <w:sz w:val="24"/>
          <w:szCs w:val="24"/>
        </w:rPr>
        <w:t>,</w:t>
      </w:r>
      <w:r w:rsidR="00EF0983" w:rsidRPr="00553D6A">
        <w:rPr>
          <w:rFonts w:ascii="Arial" w:hAnsi="Arial" w:cs="Arial"/>
          <w:iCs/>
          <w:color w:val="002060"/>
          <w:sz w:val="24"/>
          <w:szCs w:val="24"/>
        </w:rPr>
        <w:t xml:space="preserve"> contenuta nell’email del dr Pepe inviata il 22/03/2016</w:t>
      </w:r>
      <w:r w:rsidR="00B220F7" w:rsidRPr="00553D6A">
        <w:rPr>
          <w:rFonts w:ascii="Arial" w:hAnsi="Arial" w:cs="Arial"/>
          <w:iCs/>
          <w:color w:val="002060"/>
          <w:sz w:val="24"/>
          <w:szCs w:val="24"/>
        </w:rPr>
        <w:t>,</w:t>
      </w:r>
      <w:r w:rsidR="00CB4A88" w:rsidRPr="00553D6A">
        <w:rPr>
          <w:rFonts w:ascii="Arial" w:hAnsi="Arial" w:cs="Arial"/>
          <w:iCs/>
          <w:color w:val="002060"/>
          <w:sz w:val="24"/>
          <w:szCs w:val="24"/>
        </w:rPr>
        <w:t xml:space="preserve"> siano meritevoli di qualche approfondimento</w:t>
      </w:r>
      <w:r w:rsidRPr="00553D6A">
        <w:rPr>
          <w:rFonts w:ascii="Arial" w:hAnsi="Arial" w:cs="Arial"/>
          <w:iCs/>
          <w:color w:val="002060"/>
          <w:sz w:val="24"/>
          <w:szCs w:val="24"/>
        </w:rPr>
        <w:t xml:space="preserve">. </w:t>
      </w:r>
    </w:p>
    <w:p w14:paraId="41B8FDB4" w14:textId="7C65B204" w:rsidR="00E92FEB" w:rsidRPr="00553D6A" w:rsidRDefault="00D91B19" w:rsidP="00724F18">
      <w:pPr>
        <w:pStyle w:val="Standard"/>
        <w:numPr>
          <w:ilvl w:val="0"/>
          <w:numId w:val="25"/>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Una prima puntualizzazione</w:t>
      </w:r>
      <w:r w:rsidR="00CB4A88" w:rsidRPr="00553D6A">
        <w:rPr>
          <w:rFonts w:ascii="Arial" w:hAnsi="Arial" w:cs="Arial"/>
          <w:iCs/>
          <w:color w:val="002060"/>
          <w:sz w:val="24"/>
          <w:szCs w:val="24"/>
        </w:rPr>
        <w:t>. N</w:t>
      </w:r>
      <w:r w:rsidR="00F3623C" w:rsidRPr="00553D6A">
        <w:rPr>
          <w:rFonts w:ascii="Arial" w:hAnsi="Arial" w:cs="Arial"/>
          <w:iCs/>
          <w:color w:val="002060"/>
          <w:sz w:val="24"/>
          <w:szCs w:val="24"/>
        </w:rPr>
        <w:t>on mi risulta che in passato il comune di Manfredonia sia</w:t>
      </w:r>
      <w:r w:rsidR="00CB4A88" w:rsidRPr="00553D6A">
        <w:rPr>
          <w:rFonts w:ascii="Arial" w:hAnsi="Arial" w:cs="Arial"/>
          <w:iCs/>
          <w:color w:val="002060"/>
          <w:sz w:val="24"/>
          <w:szCs w:val="24"/>
        </w:rPr>
        <w:t xml:space="preserve"> mai</w:t>
      </w:r>
      <w:r w:rsidR="00F3623C" w:rsidRPr="00553D6A">
        <w:rPr>
          <w:rFonts w:ascii="Arial" w:hAnsi="Arial" w:cs="Arial"/>
          <w:iCs/>
          <w:color w:val="002060"/>
          <w:sz w:val="24"/>
          <w:szCs w:val="24"/>
        </w:rPr>
        <w:t xml:space="preserve"> stato </w:t>
      </w:r>
      <w:r w:rsidR="00CB4A88" w:rsidRPr="00553D6A">
        <w:rPr>
          <w:rFonts w:ascii="Arial" w:hAnsi="Arial" w:cs="Arial"/>
          <w:iCs/>
          <w:color w:val="002060"/>
          <w:sz w:val="24"/>
          <w:szCs w:val="24"/>
        </w:rPr>
        <w:t xml:space="preserve">formalmente </w:t>
      </w:r>
      <w:r w:rsidR="00F3623C" w:rsidRPr="00553D6A">
        <w:rPr>
          <w:rFonts w:ascii="Arial" w:hAnsi="Arial" w:cs="Arial"/>
          <w:iCs/>
          <w:color w:val="002060"/>
          <w:sz w:val="24"/>
          <w:szCs w:val="24"/>
        </w:rPr>
        <w:t>messo in mora</w:t>
      </w:r>
      <w:r w:rsidR="00EF0983" w:rsidRPr="00553D6A">
        <w:rPr>
          <w:rFonts w:ascii="Arial" w:hAnsi="Arial" w:cs="Arial"/>
          <w:iCs/>
          <w:color w:val="002060"/>
          <w:sz w:val="24"/>
          <w:szCs w:val="24"/>
        </w:rPr>
        <w:t>,</w:t>
      </w:r>
      <w:r w:rsidR="00F3623C" w:rsidRPr="00553D6A">
        <w:rPr>
          <w:rFonts w:ascii="Arial" w:hAnsi="Arial" w:cs="Arial"/>
          <w:iCs/>
          <w:color w:val="002060"/>
          <w:sz w:val="24"/>
          <w:szCs w:val="24"/>
        </w:rPr>
        <w:t xml:space="preserve"> con o senza gli appigli giuridici</w:t>
      </w:r>
      <w:r w:rsidR="00CB4A88" w:rsidRPr="00553D6A">
        <w:rPr>
          <w:rFonts w:ascii="Arial" w:hAnsi="Arial" w:cs="Arial"/>
          <w:iCs/>
          <w:color w:val="002060"/>
          <w:sz w:val="24"/>
          <w:szCs w:val="24"/>
        </w:rPr>
        <w:t xml:space="preserve">, per il recupero di costi sopportati, ma non dovuti, dagli </w:t>
      </w:r>
      <w:proofErr w:type="spellStart"/>
      <w:r w:rsidR="00CB4A88" w:rsidRPr="00553D6A">
        <w:rPr>
          <w:rFonts w:ascii="Arial" w:hAnsi="Arial" w:cs="Arial"/>
          <w:iCs/>
          <w:color w:val="002060"/>
          <w:sz w:val="24"/>
          <w:szCs w:val="24"/>
        </w:rPr>
        <w:t>ippocampesi</w:t>
      </w:r>
      <w:proofErr w:type="spellEnd"/>
      <w:r w:rsidR="000965AB" w:rsidRPr="00553D6A">
        <w:rPr>
          <w:rFonts w:ascii="Arial" w:hAnsi="Arial" w:cs="Arial"/>
          <w:iCs/>
          <w:color w:val="002060"/>
          <w:sz w:val="24"/>
          <w:szCs w:val="24"/>
        </w:rPr>
        <w:t>;</w:t>
      </w:r>
      <w:r w:rsidR="00F3623C" w:rsidRPr="00553D6A">
        <w:rPr>
          <w:rFonts w:ascii="Arial" w:hAnsi="Arial" w:cs="Arial"/>
          <w:iCs/>
          <w:color w:val="002060"/>
          <w:sz w:val="24"/>
          <w:szCs w:val="24"/>
        </w:rPr>
        <w:t xml:space="preserve"> salvo che</w:t>
      </w:r>
      <w:r w:rsidR="000965AB" w:rsidRPr="00553D6A">
        <w:rPr>
          <w:rFonts w:ascii="Arial" w:hAnsi="Arial" w:cs="Arial"/>
          <w:iCs/>
          <w:color w:val="002060"/>
          <w:sz w:val="24"/>
          <w:szCs w:val="24"/>
        </w:rPr>
        <w:t>,</w:t>
      </w:r>
      <w:r w:rsidR="00F3623C" w:rsidRPr="00553D6A">
        <w:rPr>
          <w:rFonts w:ascii="Arial" w:hAnsi="Arial" w:cs="Arial"/>
          <w:iCs/>
          <w:color w:val="002060"/>
          <w:sz w:val="24"/>
          <w:szCs w:val="24"/>
        </w:rPr>
        <w:t xml:space="preserve"> non </w:t>
      </w:r>
      <w:r w:rsidR="008C7399" w:rsidRPr="00553D6A">
        <w:rPr>
          <w:rFonts w:ascii="Arial" w:hAnsi="Arial" w:cs="Arial"/>
          <w:iCs/>
          <w:color w:val="002060"/>
          <w:sz w:val="24"/>
          <w:szCs w:val="24"/>
        </w:rPr>
        <w:t xml:space="preserve">ci </w:t>
      </w:r>
      <w:r w:rsidR="00F3623C" w:rsidRPr="00553D6A">
        <w:rPr>
          <w:rFonts w:ascii="Arial" w:hAnsi="Arial" w:cs="Arial"/>
          <w:iCs/>
          <w:color w:val="002060"/>
          <w:sz w:val="24"/>
          <w:szCs w:val="24"/>
        </w:rPr>
        <w:t>si riferisca alla lite giudiziaria tra il Comune e la ITI sfociate nelle note sentenze del TAR Bari e del Consiglio</w:t>
      </w:r>
      <w:r w:rsidR="00E92FEB" w:rsidRPr="00553D6A">
        <w:rPr>
          <w:rFonts w:ascii="Arial" w:hAnsi="Arial" w:cs="Arial"/>
          <w:iCs/>
          <w:color w:val="002060"/>
          <w:sz w:val="24"/>
          <w:szCs w:val="24"/>
        </w:rPr>
        <w:t xml:space="preserve"> </w:t>
      </w:r>
      <w:r w:rsidR="00F3623C" w:rsidRPr="00553D6A">
        <w:rPr>
          <w:rFonts w:ascii="Arial" w:hAnsi="Arial" w:cs="Arial"/>
          <w:iCs/>
          <w:color w:val="002060"/>
          <w:sz w:val="24"/>
          <w:szCs w:val="24"/>
        </w:rPr>
        <w:t>di Stato</w:t>
      </w:r>
      <w:r w:rsidR="00A05740" w:rsidRPr="00553D6A">
        <w:rPr>
          <w:rFonts w:ascii="Arial" w:hAnsi="Arial" w:cs="Arial"/>
          <w:iCs/>
          <w:color w:val="002060"/>
          <w:sz w:val="24"/>
          <w:szCs w:val="24"/>
        </w:rPr>
        <w:t>, ma era una cosa diversa</w:t>
      </w:r>
      <w:r w:rsidR="00E92FEB" w:rsidRPr="00553D6A">
        <w:rPr>
          <w:rFonts w:ascii="Arial" w:hAnsi="Arial" w:cs="Arial"/>
          <w:iCs/>
          <w:color w:val="002060"/>
          <w:sz w:val="24"/>
          <w:szCs w:val="24"/>
        </w:rPr>
        <w:t>.</w:t>
      </w:r>
    </w:p>
    <w:p w14:paraId="2C8DED8E" w14:textId="77777777" w:rsidR="00CB4A88" w:rsidRPr="00553D6A" w:rsidRDefault="00CB4A88" w:rsidP="00EF0983">
      <w:pPr>
        <w:pStyle w:val="Standard"/>
        <w:spacing w:after="0" w:line="240" w:lineRule="auto"/>
        <w:jc w:val="both"/>
        <w:rPr>
          <w:rFonts w:ascii="Arial" w:hAnsi="Arial" w:cs="Arial"/>
          <w:iCs/>
          <w:color w:val="002060"/>
          <w:sz w:val="24"/>
          <w:szCs w:val="24"/>
        </w:rPr>
      </w:pPr>
    </w:p>
    <w:p w14:paraId="336C0865" w14:textId="7BA85279" w:rsidR="00EF0983" w:rsidRPr="00553D6A" w:rsidRDefault="00E92FEB" w:rsidP="00724F18">
      <w:pPr>
        <w:pStyle w:val="Standard"/>
        <w:numPr>
          <w:ilvl w:val="0"/>
          <w:numId w:val="25"/>
        </w:numPr>
        <w:spacing w:after="0" w:line="240" w:lineRule="auto"/>
        <w:jc w:val="both"/>
        <w:rPr>
          <w:rFonts w:ascii="Arial" w:hAnsi="Arial" w:cs="Arial"/>
          <w:iCs/>
          <w:color w:val="002060"/>
          <w:sz w:val="24"/>
          <w:szCs w:val="24"/>
        </w:rPr>
      </w:pPr>
      <w:r w:rsidRPr="00553D6A">
        <w:rPr>
          <w:rFonts w:ascii="Arial" w:hAnsi="Arial" w:cs="Arial"/>
          <w:iCs/>
          <w:color w:val="002060"/>
          <w:sz w:val="24"/>
          <w:szCs w:val="24"/>
        </w:rPr>
        <w:t xml:space="preserve">Più importante </w:t>
      </w:r>
      <w:r w:rsidR="000965AB" w:rsidRPr="00553D6A">
        <w:rPr>
          <w:rFonts w:ascii="Arial" w:hAnsi="Arial" w:cs="Arial"/>
          <w:iCs/>
          <w:color w:val="002060"/>
          <w:sz w:val="24"/>
          <w:szCs w:val="24"/>
        </w:rPr>
        <w:t xml:space="preserve">da sottolineare </w:t>
      </w:r>
      <w:r w:rsidRPr="00553D6A">
        <w:rPr>
          <w:rFonts w:ascii="Arial" w:hAnsi="Arial" w:cs="Arial"/>
          <w:iCs/>
          <w:color w:val="002060"/>
          <w:sz w:val="24"/>
          <w:szCs w:val="24"/>
        </w:rPr>
        <w:t xml:space="preserve">appare la questione della rappresentanza. </w:t>
      </w:r>
    </w:p>
    <w:p w14:paraId="314F2D8B" w14:textId="77777777" w:rsidR="00EF0983" w:rsidRPr="00553D6A" w:rsidRDefault="00E92FEB" w:rsidP="00724F18">
      <w:pPr>
        <w:pStyle w:val="Standard"/>
        <w:spacing w:after="0" w:line="240" w:lineRule="auto"/>
        <w:ind w:left="720"/>
        <w:jc w:val="both"/>
        <w:rPr>
          <w:rFonts w:ascii="Arial" w:hAnsi="Arial" w:cs="Arial"/>
          <w:iCs/>
          <w:color w:val="002060"/>
          <w:sz w:val="24"/>
          <w:szCs w:val="24"/>
        </w:rPr>
      </w:pPr>
      <w:r w:rsidRPr="00553D6A">
        <w:rPr>
          <w:rFonts w:ascii="Arial" w:hAnsi="Arial" w:cs="Arial"/>
          <w:iCs/>
          <w:color w:val="002060"/>
          <w:sz w:val="24"/>
          <w:szCs w:val="24"/>
        </w:rPr>
        <w:t xml:space="preserve">L’amministratore del </w:t>
      </w:r>
      <w:proofErr w:type="spellStart"/>
      <w:r w:rsidRPr="00553D6A">
        <w:rPr>
          <w:rFonts w:ascii="Arial" w:hAnsi="Arial" w:cs="Arial"/>
          <w:iCs/>
          <w:color w:val="002060"/>
          <w:sz w:val="24"/>
          <w:szCs w:val="24"/>
        </w:rPr>
        <w:t>supercondominio</w:t>
      </w:r>
      <w:proofErr w:type="spellEnd"/>
      <w:r w:rsidRPr="00553D6A">
        <w:rPr>
          <w:rFonts w:ascii="Arial" w:hAnsi="Arial" w:cs="Arial"/>
          <w:iCs/>
          <w:color w:val="002060"/>
          <w:sz w:val="24"/>
          <w:szCs w:val="24"/>
        </w:rPr>
        <w:t xml:space="preserve"> è per sua natura rappres</w:t>
      </w:r>
      <w:r w:rsidR="000965AB" w:rsidRPr="00553D6A">
        <w:rPr>
          <w:rFonts w:ascii="Arial" w:hAnsi="Arial" w:cs="Arial"/>
          <w:iCs/>
          <w:color w:val="002060"/>
          <w:sz w:val="24"/>
          <w:szCs w:val="24"/>
        </w:rPr>
        <w:t>e</w:t>
      </w:r>
      <w:r w:rsidRPr="00553D6A">
        <w:rPr>
          <w:rFonts w:ascii="Arial" w:hAnsi="Arial" w:cs="Arial"/>
          <w:iCs/>
          <w:color w:val="002060"/>
          <w:sz w:val="24"/>
          <w:szCs w:val="24"/>
        </w:rPr>
        <w:t xml:space="preserve">ntante del </w:t>
      </w:r>
      <w:proofErr w:type="spellStart"/>
      <w:r w:rsidRPr="00553D6A">
        <w:rPr>
          <w:rFonts w:ascii="Arial" w:hAnsi="Arial" w:cs="Arial"/>
          <w:iCs/>
          <w:color w:val="002060"/>
          <w:sz w:val="24"/>
          <w:szCs w:val="24"/>
        </w:rPr>
        <w:t>supercondominio</w:t>
      </w:r>
      <w:proofErr w:type="spellEnd"/>
      <w:r w:rsidRPr="00553D6A">
        <w:rPr>
          <w:rFonts w:ascii="Arial" w:hAnsi="Arial" w:cs="Arial"/>
          <w:iCs/>
          <w:color w:val="002060"/>
          <w:sz w:val="24"/>
          <w:szCs w:val="24"/>
        </w:rPr>
        <w:t xml:space="preserve"> ed è </w:t>
      </w:r>
      <w:r w:rsidRPr="00F76CFC">
        <w:rPr>
          <w:rFonts w:ascii="Copperplate Gothic Light" w:hAnsi="Copperplate Gothic Light" w:cs="Arial"/>
          <w:iCs/>
          <w:color w:val="002060"/>
          <w:sz w:val="24"/>
          <w:szCs w:val="24"/>
        </w:rPr>
        <w:t>titolato e tenuto</w:t>
      </w:r>
      <w:r w:rsidRPr="00553D6A">
        <w:rPr>
          <w:rFonts w:ascii="Arial" w:hAnsi="Arial" w:cs="Arial"/>
          <w:iCs/>
          <w:color w:val="002060"/>
          <w:sz w:val="24"/>
          <w:szCs w:val="24"/>
        </w:rPr>
        <w:t xml:space="preserve"> ad agire nell’ambito delle previsioni dell’art. 1130 del cc. </w:t>
      </w:r>
    </w:p>
    <w:p w14:paraId="178CC0A9" w14:textId="652091B5" w:rsidR="00124FBB" w:rsidRPr="00553D6A" w:rsidRDefault="00124FBB" w:rsidP="00724F18">
      <w:pPr>
        <w:pStyle w:val="Standard"/>
        <w:spacing w:after="120" w:line="240" w:lineRule="auto"/>
        <w:ind w:left="720"/>
        <w:jc w:val="both"/>
        <w:rPr>
          <w:rFonts w:ascii="Arial" w:hAnsi="Arial" w:cs="Arial"/>
          <w:iCs/>
          <w:color w:val="002060"/>
          <w:sz w:val="24"/>
          <w:szCs w:val="24"/>
        </w:rPr>
      </w:pPr>
      <w:r w:rsidRPr="00553D6A">
        <w:rPr>
          <w:rFonts w:ascii="Arial" w:hAnsi="Arial" w:cs="Arial"/>
          <w:iCs/>
          <w:color w:val="002060"/>
          <w:sz w:val="24"/>
          <w:szCs w:val="24"/>
        </w:rPr>
        <w:t xml:space="preserve">E’ ovvio e palese, quindi, che tutte le azioni messe in piedi dal Dr Pepe, sicuramente meritorie sotto tutti i punti di vista, che esulano </w:t>
      </w:r>
      <w:r w:rsidR="00CE130F" w:rsidRPr="00553D6A">
        <w:rPr>
          <w:rFonts w:ascii="Arial" w:hAnsi="Arial" w:cs="Arial"/>
          <w:iCs/>
          <w:color w:val="002060"/>
          <w:sz w:val="24"/>
          <w:szCs w:val="24"/>
        </w:rPr>
        <w:t>per</w:t>
      </w:r>
      <w:r w:rsidR="00B220F7" w:rsidRPr="00553D6A">
        <w:rPr>
          <w:rFonts w:ascii="Arial" w:hAnsi="Arial" w:cs="Arial"/>
          <w:iCs/>
          <w:color w:val="002060"/>
          <w:sz w:val="24"/>
          <w:szCs w:val="24"/>
        </w:rPr>
        <w:t>ò</w:t>
      </w:r>
      <w:r w:rsidR="00CE130F" w:rsidRPr="00553D6A">
        <w:rPr>
          <w:rFonts w:ascii="Arial" w:hAnsi="Arial" w:cs="Arial"/>
          <w:iCs/>
          <w:color w:val="002060"/>
          <w:sz w:val="24"/>
          <w:szCs w:val="24"/>
        </w:rPr>
        <w:t xml:space="preserve"> </w:t>
      </w:r>
      <w:r w:rsidRPr="00553D6A">
        <w:rPr>
          <w:rFonts w:ascii="Arial" w:hAnsi="Arial" w:cs="Arial"/>
          <w:iCs/>
          <w:color w:val="002060"/>
          <w:sz w:val="24"/>
          <w:szCs w:val="24"/>
        </w:rPr>
        <w:t xml:space="preserve">dalle previsioni dall’art. 1130 </w:t>
      </w:r>
      <w:proofErr w:type="spellStart"/>
      <w:r w:rsidRPr="00553D6A">
        <w:rPr>
          <w:rFonts w:ascii="Arial" w:hAnsi="Arial" w:cs="Arial"/>
          <w:iCs/>
          <w:color w:val="002060"/>
          <w:sz w:val="24"/>
          <w:szCs w:val="24"/>
        </w:rPr>
        <w:t>c.c</w:t>
      </w:r>
      <w:proofErr w:type="spellEnd"/>
      <w:r w:rsidRPr="00553D6A">
        <w:rPr>
          <w:rFonts w:ascii="Arial" w:hAnsi="Arial" w:cs="Arial"/>
          <w:iCs/>
          <w:color w:val="002060"/>
          <w:sz w:val="24"/>
          <w:szCs w:val="24"/>
        </w:rPr>
        <w:t xml:space="preserve">  sono da considerare </w:t>
      </w:r>
      <w:r w:rsidR="00B220F7" w:rsidRPr="00553D6A">
        <w:rPr>
          <w:rFonts w:ascii="Arial" w:hAnsi="Arial" w:cs="Arial"/>
          <w:iCs/>
          <w:color w:val="002060"/>
          <w:sz w:val="24"/>
          <w:szCs w:val="24"/>
        </w:rPr>
        <w:t xml:space="preserve">come esperite </w:t>
      </w:r>
      <w:r w:rsidRPr="00553D6A">
        <w:rPr>
          <w:rFonts w:ascii="Arial" w:hAnsi="Arial" w:cs="Arial"/>
          <w:iCs/>
          <w:color w:val="002060"/>
          <w:sz w:val="24"/>
          <w:szCs w:val="24"/>
        </w:rPr>
        <w:t xml:space="preserve">a titolo puramente personale, </w:t>
      </w:r>
      <w:r w:rsidR="00B220F7" w:rsidRPr="00553D6A">
        <w:rPr>
          <w:rFonts w:ascii="Arial" w:hAnsi="Arial" w:cs="Arial"/>
          <w:iCs/>
          <w:color w:val="002060"/>
          <w:sz w:val="24"/>
          <w:szCs w:val="24"/>
        </w:rPr>
        <w:t>anche se</w:t>
      </w:r>
      <w:r w:rsidRPr="00553D6A">
        <w:rPr>
          <w:rFonts w:ascii="Arial" w:hAnsi="Arial" w:cs="Arial"/>
          <w:iCs/>
          <w:color w:val="002060"/>
          <w:sz w:val="24"/>
          <w:szCs w:val="24"/>
        </w:rPr>
        <w:t xml:space="preserve"> fortemente avvantaggiate  dal ruolo di Amministratore del </w:t>
      </w:r>
      <w:proofErr w:type="spellStart"/>
      <w:r w:rsidRPr="00553D6A">
        <w:rPr>
          <w:rFonts w:ascii="Arial" w:hAnsi="Arial" w:cs="Arial"/>
          <w:iCs/>
          <w:color w:val="002060"/>
          <w:sz w:val="24"/>
          <w:szCs w:val="24"/>
        </w:rPr>
        <w:t>Supercondominio</w:t>
      </w:r>
      <w:proofErr w:type="spellEnd"/>
      <w:r w:rsidRPr="00553D6A">
        <w:rPr>
          <w:rFonts w:ascii="Arial" w:hAnsi="Arial" w:cs="Arial"/>
          <w:iCs/>
          <w:color w:val="002060"/>
          <w:sz w:val="24"/>
          <w:szCs w:val="24"/>
        </w:rPr>
        <w:t xml:space="preserve"> Ippocampo</w:t>
      </w:r>
      <w:r w:rsidR="00B220F7" w:rsidRPr="00553D6A">
        <w:rPr>
          <w:rFonts w:ascii="Arial" w:hAnsi="Arial" w:cs="Arial"/>
          <w:iCs/>
          <w:color w:val="002060"/>
          <w:sz w:val="24"/>
          <w:szCs w:val="24"/>
        </w:rPr>
        <w:t xml:space="preserve"> ricoperto dall’attore</w:t>
      </w:r>
      <w:r w:rsidRPr="00553D6A">
        <w:rPr>
          <w:rFonts w:ascii="Arial" w:hAnsi="Arial" w:cs="Arial"/>
          <w:iCs/>
          <w:color w:val="002060"/>
          <w:sz w:val="24"/>
          <w:szCs w:val="24"/>
        </w:rPr>
        <w:t>;</w:t>
      </w:r>
    </w:p>
    <w:p w14:paraId="49DF07E4" w14:textId="77777777" w:rsidR="00124FBB" w:rsidRPr="00553D6A" w:rsidRDefault="00124FBB" w:rsidP="00EF0983">
      <w:pPr>
        <w:pStyle w:val="Standard"/>
        <w:spacing w:after="0" w:line="240" w:lineRule="auto"/>
        <w:jc w:val="both"/>
        <w:rPr>
          <w:rFonts w:ascii="Arial" w:hAnsi="Arial" w:cs="Arial"/>
          <w:iCs/>
          <w:color w:val="002060"/>
          <w:sz w:val="24"/>
          <w:szCs w:val="24"/>
        </w:rPr>
      </w:pPr>
    </w:p>
    <w:p w14:paraId="637D178F" w14:textId="697E9BC1" w:rsidR="00CE130F" w:rsidRPr="00553D6A" w:rsidRDefault="00FD1A19" w:rsidP="00724F18">
      <w:pPr>
        <w:pStyle w:val="Standard"/>
        <w:numPr>
          <w:ilvl w:val="0"/>
          <w:numId w:val="25"/>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 xml:space="preserve">Nessuna azione giudiziaria, ad eccezione di quella tendente al recupero di quote condominiali, può </w:t>
      </w:r>
      <w:r w:rsidR="00037B9F" w:rsidRPr="00553D6A">
        <w:rPr>
          <w:rFonts w:ascii="Arial" w:hAnsi="Arial" w:cs="Arial"/>
          <w:iCs/>
          <w:color w:val="002060"/>
          <w:sz w:val="24"/>
          <w:szCs w:val="24"/>
        </w:rPr>
        <w:t>avviare</w:t>
      </w:r>
      <w:r w:rsidRPr="00553D6A">
        <w:rPr>
          <w:rFonts w:ascii="Arial" w:hAnsi="Arial" w:cs="Arial"/>
          <w:iCs/>
          <w:color w:val="002060"/>
          <w:sz w:val="24"/>
          <w:szCs w:val="24"/>
        </w:rPr>
        <w:t xml:space="preserve"> l’amministratore di un condominio</w:t>
      </w:r>
      <w:r w:rsidR="0050585D" w:rsidRPr="00553D6A">
        <w:rPr>
          <w:rFonts w:ascii="Arial" w:hAnsi="Arial" w:cs="Arial"/>
          <w:iCs/>
          <w:color w:val="002060"/>
          <w:sz w:val="24"/>
          <w:szCs w:val="24"/>
        </w:rPr>
        <w:t xml:space="preserve"> di sua iniziativa</w:t>
      </w:r>
      <w:r w:rsidRPr="00553D6A">
        <w:rPr>
          <w:rFonts w:ascii="Arial" w:hAnsi="Arial" w:cs="Arial"/>
          <w:iCs/>
          <w:color w:val="002060"/>
          <w:sz w:val="24"/>
          <w:szCs w:val="24"/>
        </w:rPr>
        <w:t xml:space="preserve">. </w:t>
      </w:r>
      <w:r w:rsidR="00CE130F" w:rsidRPr="00F76CFC">
        <w:rPr>
          <w:rFonts w:ascii="Copperplate Gothic Light" w:hAnsi="Copperplate Gothic Light" w:cs="Arial"/>
          <w:iCs/>
          <w:color w:val="002060"/>
          <w:sz w:val="24"/>
          <w:szCs w:val="24"/>
        </w:rPr>
        <w:t xml:space="preserve">Qualsiasi azione giudiziaria per conto del condominio deve essere preceduta da apposita </w:t>
      </w:r>
      <w:r w:rsidR="00F76CFC">
        <w:rPr>
          <w:rFonts w:ascii="Copperplate Gothic Light" w:hAnsi="Copperplate Gothic Light" w:cs="Arial"/>
          <w:iCs/>
          <w:color w:val="002060"/>
          <w:sz w:val="24"/>
          <w:szCs w:val="24"/>
        </w:rPr>
        <w:t>e specifica delibera assembleare;</w:t>
      </w:r>
    </w:p>
    <w:p w14:paraId="2F396D92" w14:textId="77777777" w:rsidR="00724F18" w:rsidRPr="00553D6A" w:rsidRDefault="00724F18" w:rsidP="00724F18">
      <w:pPr>
        <w:pStyle w:val="Standard"/>
        <w:spacing w:after="120" w:line="240" w:lineRule="auto"/>
        <w:ind w:left="720"/>
        <w:jc w:val="both"/>
        <w:rPr>
          <w:rFonts w:ascii="Arial" w:hAnsi="Arial" w:cs="Arial"/>
          <w:iCs/>
          <w:color w:val="002060"/>
          <w:sz w:val="24"/>
          <w:szCs w:val="24"/>
        </w:rPr>
      </w:pPr>
    </w:p>
    <w:p w14:paraId="10DB38BD" w14:textId="41AFF2C7" w:rsidR="00A91837" w:rsidRPr="00553D6A" w:rsidRDefault="00FD1A19" w:rsidP="00724F18">
      <w:pPr>
        <w:pStyle w:val="Standard"/>
        <w:numPr>
          <w:ilvl w:val="0"/>
          <w:numId w:val="25"/>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Le discussioni</w:t>
      </w:r>
      <w:r w:rsidR="0050585D" w:rsidRPr="00553D6A">
        <w:rPr>
          <w:rFonts w:ascii="Arial" w:hAnsi="Arial" w:cs="Arial"/>
          <w:iCs/>
          <w:color w:val="002060"/>
          <w:sz w:val="24"/>
          <w:szCs w:val="24"/>
        </w:rPr>
        <w:t>,</w:t>
      </w:r>
      <w:r w:rsidRPr="00553D6A">
        <w:rPr>
          <w:rFonts w:ascii="Arial" w:hAnsi="Arial" w:cs="Arial"/>
          <w:iCs/>
          <w:color w:val="002060"/>
          <w:sz w:val="24"/>
          <w:szCs w:val="24"/>
        </w:rPr>
        <w:t xml:space="preserve"> </w:t>
      </w:r>
      <w:r w:rsidR="00480B60" w:rsidRPr="00553D6A">
        <w:rPr>
          <w:rFonts w:ascii="Arial" w:hAnsi="Arial" w:cs="Arial"/>
          <w:iCs/>
          <w:color w:val="002060"/>
          <w:sz w:val="24"/>
          <w:szCs w:val="24"/>
        </w:rPr>
        <w:t>specie quando</w:t>
      </w:r>
      <w:r w:rsidRPr="00553D6A">
        <w:rPr>
          <w:rFonts w:ascii="Arial" w:hAnsi="Arial" w:cs="Arial"/>
          <w:iCs/>
          <w:color w:val="002060"/>
          <w:sz w:val="24"/>
          <w:szCs w:val="24"/>
        </w:rPr>
        <w:t xml:space="preserve"> riguardano </w:t>
      </w:r>
      <w:r w:rsidR="00B220F7" w:rsidRPr="00553D6A">
        <w:rPr>
          <w:rFonts w:ascii="Arial" w:hAnsi="Arial" w:cs="Arial"/>
          <w:iCs/>
          <w:color w:val="002060"/>
          <w:sz w:val="24"/>
          <w:szCs w:val="24"/>
        </w:rPr>
        <w:t xml:space="preserve">e si rivolgono ad </w:t>
      </w:r>
      <w:r w:rsidR="00480B60" w:rsidRPr="00553D6A">
        <w:rPr>
          <w:rFonts w:ascii="Arial" w:hAnsi="Arial" w:cs="Arial"/>
          <w:iCs/>
          <w:color w:val="002060"/>
          <w:sz w:val="24"/>
          <w:szCs w:val="24"/>
        </w:rPr>
        <w:t>una pluralità di</w:t>
      </w:r>
      <w:r w:rsidRPr="00553D6A">
        <w:rPr>
          <w:rFonts w:ascii="Arial" w:hAnsi="Arial" w:cs="Arial"/>
          <w:iCs/>
          <w:color w:val="002060"/>
          <w:sz w:val="24"/>
          <w:szCs w:val="24"/>
        </w:rPr>
        <w:t xml:space="preserve"> persone</w:t>
      </w:r>
      <w:r w:rsidR="0050585D" w:rsidRPr="00553D6A">
        <w:rPr>
          <w:rFonts w:ascii="Arial" w:hAnsi="Arial" w:cs="Arial"/>
          <w:iCs/>
          <w:color w:val="002060"/>
          <w:sz w:val="24"/>
          <w:szCs w:val="24"/>
        </w:rPr>
        <w:t>,</w:t>
      </w:r>
      <w:r w:rsidRPr="00553D6A">
        <w:rPr>
          <w:rFonts w:ascii="Arial" w:hAnsi="Arial" w:cs="Arial"/>
          <w:iCs/>
          <w:color w:val="002060"/>
          <w:sz w:val="24"/>
          <w:szCs w:val="24"/>
        </w:rPr>
        <w:t xml:space="preserve"> se po</w:t>
      </w:r>
      <w:r w:rsidR="00A91837" w:rsidRPr="00553D6A">
        <w:rPr>
          <w:rFonts w:ascii="Arial" w:hAnsi="Arial" w:cs="Arial"/>
          <w:iCs/>
          <w:color w:val="002060"/>
          <w:sz w:val="24"/>
          <w:szCs w:val="24"/>
        </w:rPr>
        <w:t>r</w:t>
      </w:r>
      <w:r w:rsidRPr="00553D6A">
        <w:rPr>
          <w:rFonts w:ascii="Arial" w:hAnsi="Arial" w:cs="Arial"/>
          <w:iCs/>
          <w:color w:val="002060"/>
          <w:sz w:val="24"/>
          <w:szCs w:val="24"/>
        </w:rPr>
        <w:t>tate avanti con onestà e</w:t>
      </w:r>
      <w:r w:rsidR="00A91837" w:rsidRPr="00553D6A">
        <w:rPr>
          <w:rFonts w:ascii="Arial" w:hAnsi="Arial" w:cs="Arial"/>
          <w:iCs/>
          <w:color w:val="002060"/>
          <w:sz w:val="24"/>
          <w:szCs w:val="24"/>
        </w:rPr>
        <w:t>d apertura</w:t>
      </w:r>
      <w:r w:rsidR="00D91B19" w:rsidRPr="00553D6A">
        <w:rPr>
          <w:rFonts w:ascii="Arial" w:hAnsi="Arial" w:cs="Arial"/>
          <w:iCs/>
          <w:color w:val="002060"/>
          <w:sz w:val="24"/>
          <w:szCs w:val="24"/>
        </w:rPr>
        <w:t xml:space="preserve"> mentale</w:t>
      </w:r>
      <w:r w:rsidR="00A91837" w:rsidRPr="00553D6A">
        <w:rPr>
          <w:rFonts w:ascii="Arial" w:hAnsi="Arial" w:cs="Arial"/>
          <w:iCs/>
          <w:color w:val="002060"/>
          <w:sz w:val="24"/>
          <w:szCs w:val="24"/>
        </w:rPr>
        <w:t xml:space="preserve"> </w:t>
      </w:r>
      <w:r w:rsidR="00A05740" w:rsidRPr="00553D6A">
        <w:rPr>
          <w:rFonts w:ascii="Arial" w:hAnsi="Arial" w:cs="Arial"/>
          <w:iCs/>
          <w:color w:val="002060"/>
          <w:sz w:val="24"/>
          <w:szCs w:val="24"/>
        </w:rPr>
        <w:t>in uno</w:t>
      </w:r>
      <w:r w:rsidRPr="00553D6A">
        <w:rPr>
          <w:rFonts w:ascii="Arial" w:hAnsi="Arial" w:cs="Arial"/>
          <w:iCs/>
          <w:color w:val="002060"/>
          <w:sz w:val="24"/>
          <w:szCs w:val="24"/>
        </w:rPr>
        <w:t xml:space="preserve"> spirito di leale confronto le rite</w:t>
      </w:r>
      <w:r w:rsidR="00CE130F" w:rsidRPr="00553D6A">
        <w:rPr>
          <w:rFonts w:ascii="Arial" w:hAnsi="Arial" w:cs="Arial"/>
          <w:iCs/>
          <w:color w:val="002060"/>
          <w:sz w:val="24"/>
          <w:szCs w:val="24"/>
        </w:rPr>
        <w:t>ngo</w:t>
      </w:r>
      <w:r w:rsidRPr="00553D6A">
        <w:rPr>
          <w:rFonts w:ascii="Arial" w:hAnsi="Arial" w:cs="Arial"/>
          <w:iCs/>
          <w:color w:val="002060"/>
          <w:sz w:val="24"/>
          <w:szCs w:val="24"/>
        </w:rPr>
        <w:t xml:space="preserve"> </w:t>
      </w:r>
      <w:r w:rsidR="00CE130F" w:rsidRPr="00553D6A">
        <w:rPr>
          <w:rFonts w:ascii="Arial" w:hAnsi="Arial" w:cs="Arial"/>
          <w:iCs/>
          <w:color w:val="002060"/>
          <w:sz w:val="24"/>
          <w:szCs w:val="24"/>
        </w:rPr>
        <w:t>sempre utili e costruttive</w:t>
      </w:r>
      <w:r w:rsidR="00A91837" w:rsidRPr="00553D6A">
        <w:rPr>
          <w:rFonts w:ascii="Arial" w:hAnsi="Arial" w:cs="Arial"/>
          <w:iCs/>
          <w:color w:val="002060"/>
          <w:sz w:val="24"/>
          <w:szCs w:val="24"/>
        </w:rPr>
        <w:t>.</w:t>
      </w:r>
    </w:p>
    <w:p w14:paraId="5D4E1C76" w14:textId="77777777" w:rsidR="00553D6A" w:rsidRPr="00553D6A" w:rsidRDefault="00553D6A" w:rsidP="00553D6A">
      <w:pPr>
        <w:pStyle w:val="Standard"/>
        <w:spacing w:after="120" w:line="240" w:lineRule="auto"/>
        <w:ind w:left="720"/>
        <w:jc w:val="both"/>
        <w:rPr>
          <w:rFonts w:ascii="Arial" w:hAnsi="Arial" w:cs="Arial"/>
          <w:iCs/>
          <w:color w:val="002060"/>
          <w:sz w:val="24"/>
          <w:szCs w:val="24"/>
        </w:rPr>
      </w:pPr>
    </w:p>
    <w:p w14:paraId="2C6F2332" w14:textId="7DFEACCF" w:rsidR="00CE130F" w:rsidRPr="00553D6A" w:rsidRDefault="00CE130F" w:rsidP="00724F18">
      <w:pPr>
        <w:pStyle w:val="Standard"/>
        <w:numPr>
          <w:ilvl w:val="0"/>
          <w:numId w:val="25"/>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Opere eseguite e da eseguire:</w:t>
      </w:r>
    </w:p>
    <w:p w14:paraId="66506B9D" w14:textId="346204D9" w:rsidR="00A91837" w:rsidRPr="00553D6A" w:rsidRDefault="00A91837" w:rsidP="00EF0983">
      <w:pPr>
        <w:pStyle w:val="Standard"/>
        <w:numPr>
          <w:ilvl w:val="0"/>
          <w:numId w:val="20"/>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La videosorveglianza</w:t>
      </w:r>
      <w:r w:rsidR="0050585D" w:rsidRPr="00553D6A">
        <w:rPr>
          <w:rFonts w:ascii="Arial" w:hAnsi="Arial" w:cs="Arial"/>
          <w:iCs/>
          <w:color w:val="002060"/>
          <w:sz w:val="24"/>
          <w:szCs w:val="24"/>
        </w:rPr>
        <w:t>,</w:t>
      </w:r>
      <w:r w:rsidRPr="00553D6A">
        <w:rPr>
          <w:rFonts w:ascii="Arial" w:hAnsi="Arial" w:cs="Arial"/>
          <w:iCs/>
          <w:color w:val="002060"/>
          <w:sz w:val="24"/>
          <w:szCs w:val="24"/>
        </w:rPr>
        <w:t xml:space="preserve"> in sostituzione di un turno di portierato</w:t>
      </w:r>
      <w:r w:rsidR="0050585D" w:rsidRPr="00553D6A">
        <w:rPr>
          <w:rFonts w:ascii="Arial" w:hAnsi="Arial" w:cs="Arial"/>
          <w:iCs/>
          <w:color w:val="002060"/>
          <w:sz w:val="24"/>
          <w:szCs w:val="24"/>
        </w:rPr>
        <w:t>,</w:t>
      </w:r>
      <w:r w:rsidRPr="00553D6A">
        <w:rPr>
          <w:rFonts w:ascii="Arial" w:hAnsi="Arial" w:cs="Arial"/>
          <w:iCs/>
          <w:color w:val="002060"/>
          <w:sz w:val="24"/>
          <w:szCs w:val="24"/>
        </w:rPr>
        <w:t xml:space="preserve"> rispetterà probabilm</w:t>
      </w:r>
      <w:r w:rsidR="00D91B19" w:rsidRPr="00553D6A">
        <w:rPr>
          <w:rFonts w:ascii="Arial" w:hAnsi="Arial" w:cs="Arial"/>
          <w:iCs/>
          <w:color w:val="002060"/>
          <w:sz w:val="24"/>
          <w:szCs w:val="24"/>
        </w:rPr>
        <w:t>ente le disposizione in merito alla</w:t>
      </w:r>
      <w:r w:rsidRPr="00553D6A">
        <w:rPr>
          <w:rFonts w:ascii="Arial" w:hAnsi="Arial" w:cs="Arial"/>
          <w:iCs/>
          <w:color w:val="002060"/>
          <w:sz w:val="24"/>
          <w:szCs w:val="24"/>
        </w:rPr>
        <w:t xml:space="preserve"> tutela dei dati personali</w:t>
      </w:r>
      <w:r w:rsidR="00A05740" w:rsidRPr="00553D6A">
        <w:rPr>
          <w:rFonts w:ascii="Arial" w:hAnsi="Arial" w:cs="Arial"/>
          <w:iCs/>
          <w:color w:val="002060"/>
          <w:sz w:val="24"/>
          <w:szCs w:val="24"/>
        </w:rPr>
        <w:t>,</w:t>
      </w:r>
      <w:r w:rsidRPr="00553D6A">
        <w:rPr>
          <w:rFonts w:ascii="Arial" w:hAnsi="Arial" w:cs="Arial"/>
          <w:iCs/>
          <w:color w:val="002060"/>
          <w:sz w:val="24"/>
          <w:szCs w:val="24"/>
        </w:rPr>
        <w:t xml:space="preserve"> ma</w:t>
      </w:r>
      <w:r w:rsidR="00A05740" w:rsidRPr="00553D6A">
        <w:rPr>
          <w:rFonts w:ascii="Arial" w:hAnsi="Arial" w:cs="Arial"/>
          <w:iCs/>
          <w:color w:val="002060"/>
          <w:sz w:val="24"/>
          <w:szCs w:val="24"/>
        </w:rPr>
        <w:t>,</w:t>
      </w:r>
      <w:r w:rsidRPr="00553D6A">
        <w:rPr>
          <w:rFonts w:ascii="Arial" w:hAnsi="Arial" w:cs="Arial"/>
          <w:iCs/>
          <w:color w:val="002060"/>
          <w:sz w:val="24"/>
          <w:szCs w:val="24"/>
        </w:rPr>
        <w:t xml:space="preserve"> </w:t>
      </w:r>
      <w:r w:rsidR="00AD7A12" w:rsidRPr="00553D6A">
        <w:rPr>
          <w:rFonts w:ascii="Arial" w:hAnsi="Arial" w:cs="Arial"/>
          <w:iCs/>
          <w:color w:val="002060"/>
          <w:sz w:val="24"/>
          <w:szCs w:val="24"/>
        </w:rPr>
        <w:t>sicuramente</w:t>
      </w:r>
      <w:r w:rsidR="00A05740" w:rsidRPr="00553D6A">
        <w:rPr>
          <w:rFonts w:ascii="Arial" w:hAnsi="Arial" w:cs="Arial"/>
          <w:iCs/>
          <w:color w:val="002060"/>
          <w:sz w:val="24"/>
          <w:szCs w:val="24"/>
        </w:rPr>
        <w:t>,</w:t>
      </w:r>
      <w:r w:rsidRPr="00553D6A">
        <w:rPr>
          <w:rFonts w:ascii="Arial" w:hAnsi="Arial" w:cs="Arial"/>
          <w:iCs/>
          <w:color w:val="002060"/>
          <w:sz w:val="24"/>
          <w:szCs w:val="24"/>
        </w:rPr>
        <w:t xml:space="preserve"> </w:t>
      </w:r>
      <w:r w:rsidR="00480B60" w:rsidRPr="00553D6A">
        <w:rPr>
          <w:rFonts w:ascii="Arial" w:hAnsi="Arial" w:cs="Arial"/>
          <w:iCs/>
          <w:color w:val="002060"/>
          <w:sz w:val="24"/>
          <w:szCs w:val="24"/>
        </w:rPr>
        <w:t>n</w:t>
      </w:r>
      <w:r w:rsidRPr="00553D6A">
        <w:rPr>
          <w:rFonts w:ascii="Arial" w:hAnsi="Arial" w:cs="Arial"/>
          <w:iCs/>
          <w:color w:val="002060"/>
          <w:sz w:val="24"/>
          <w:szCs w:val="24"/>
        </w:rPr>
        <w:t xml:space="preserve">on rispetta </w:t>
      </w:r>
      <w:r w:rsidR="004F4E2C" w:rsidRPr="00553D6A">
        <w:rPr>
          <w:rFonts w:ascii="Arial" w:hAnsi="Arial" w:cs="Arial"/>
          <w:iCs/>
          <w:color w:val="002060"/>
          <w:sz w:val="24"/>
          <w:szCs w:val="24"/>
        </w:rPr>
        <w:t xml:space="preserve">quantomeno </w:t>
      </w:r>
      <w:r w:rsidRPr="00553D6A">
        <w:rPr>
          <w:rFonts w:ascii="Arial" w:hAnsi="Arial" w:cs="Arial"/>
          <w:iCs/>
          <w:color w:val="002060"/>
          <w:sz w:val="24"/>
          <w:szCs w:val="24"/>
        </w:rPr>
        <w:t>l’art. 1122 ter cc.</w:t>
      </w:r>
    </w:p>
    <w:p w14:paraId="0AFA7B83" w14:textId="282CB223" w:rsidR="000965AB" w:rsidRPr="00553D6A" w:rsidRDefault="00A91837" w:rsidP="00EF0983">
      <w:pPr>
        <w:pStyle w:val="Standard"/>
        <w:numPr>
          <w:ilvl w:val="0"/>
          <w:numId w:val="20"/>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Per il rifacimento della pavimentazione del ponte</w:t>
      </w:r>
      <w:r w:rsidR="00054A0C" w:rsidRPr="00553D6A">
        <w:rPr>
          <w:rFonts w:ascii="Arial" w:hAnsi="Arial" w:cs="Arial"/>
          <w:iCs/>
          <w:color w:val="002060"/>
          <w:sz w:val="24"/>
          <w:szCs w:val="24"/>
        </w:rPr>
        <w:t>,</w:t>
      </w:r>
      <w:r w:rsidRPr="00553D6A">
        <w:rPr>
          <w:rFonts w:ascii="Arial" w:hAnsi="Arial" w:cs="Arial"/>
          <w:iCs/>
          <w:color w:val="002060"/>
          <w:sz w:val="24"/>
          <w:szCs w:val="24"/>
        </w:rPr>
        <w:t xml:space="preserve"> spero che</w:t>
      </w:r>
      <w:r w:rsidR="00480B60" w:rsidRPr="00553D6A">
        <w:rPr>
          <w:rFonts w:ascii="Arial" w:hAnsi="Arial" w:cs="Arial"/>
          <w:iCs/>
          <w:color w:val="002060"/>
          <w:sz w:val="24"/>
          <w:szCs w:val="24"/>
        </w:rPr>
        <w:t xml:space="preserve"> </w:t>
      </w:r>
      <w:r w:rsidRPr="00553D6A">
        <w:rPr>
          <w:rFonts w:ascii="Arial" w:hAnsi="Arial" w:cs="Arial"/>
          <w:iCs/>
          <w:color w:val="002060"/>
          <w:sz w:val="24"/>
          <w:szCs w:val="24"/>
        </w:rPr>
        <w:t xml:space="preserve">i calcoli statici </w:t>
      </w:r>
      <w:r w:rsidR="0057739A" w:rsidRPr="00553D6A">
        <w:rPr>
          <w:rFonts w:ascii="Arial" w:hAnsi="Arial" w:cs="Arial"/>
          <w:iCs/>
          <w:color w:val="002060"/>
          <w:sz w:val="24"/>
          <w:szCs w:val="24"/>
        </w:rPr>
        <w:t xml:space="preserve">eseguiti </w:t>
      </w:r>
      <w:r w:rsidRPr="00553D6A">
        <w:rPr>
          <w:rFonts w:ascii="Arial" w:hAnsi="Arial" w:cs="Arial"/>
          <w:iCs/>
          <w:color w:val="002060"/>
          <w:sz w:val="24"/>
          <w:szCs w:val="24"/>
        </w:rPr>
        <w:t>siano esatti</w:t>
      </w:r>
      <w:r w:rsidR="00AD7A12" w:rsidRPr="00553D6A">
        <w:rPr>
          <w:rFonts w:ascii="Arial" w:hAnsi="Arial" w:cs="Arial"/>
          <w:iCs/>
          <w:color w:val="002060"/>
          <w:sz w:val="24"/>
          <w:szCs w:val="24"/>
        </w:rPr>
        <w:t>, visto che la struttura preesistente</w:t>
      </w:r>
      <w:r w:rsidR="00054A0C" w:rsidRPr="00553D6A">
        <w:rPr>
          <w:rFonts w:ascii="Arial" w:hAnsi="Arial" w:cs="Arial"/>
          <w:iCs/>
          <w:color w:val="002060"/>
          <w:sz w:val="24"/>
          <w:szCs w:val="24"/>
        </w:rPr>
        <w:t>,</w:t>
      </w:r>
      <w:r w:rsidR="00AD7A12" w:rsidRPr="00553D6A">
        <w:rPr>
          <w:rFonts w:ascii="Arial" w:hAnsi="Arial" w:cs="Arial"/>
          <w:iCs/>
          <w:color w:val="002060"/>
          <w:sz w:val="24"/>
          <w:szCs w:val="24"/>
        </w:rPr>
        <w:t xml:space="preserve"> che mi pare non sia stata toccata</w:t>
      </w:r>
      <w:r w:rsidR="0057739A" w:rsidRPr="00553D6A">
        <w:rPr>
          <w:rFonts w:ascii="Arial" w:hAnsi="Arial" w:cs="Arial"/>
          <w:iCs/>
          <w:color w:val="002060"/>
          <w:sz w:val="24"/>
          <w:szCs w:val="24"/>
        </w:rPr>
        <w:t>/rinforzata</w:t>
      </w:r>
      <w:r w:rsidR="00054A0C" w:rsidRPr="00553D6A">
        <w:rPr>
          <w:rFonts w:ascii="Arial" w:hAnsi="Arial" w:cs="Arial"/>
          <w:iCs/>
          <w:color w:val="002060"/>
          <w:sz w:val="24"/>
          <w:szCs w:val="24"/>
        </w:rPr>
        <w:t>,</w:t>
      </w:r>
      <w:r w:rsidR="00AD7A12" w:rsidRPr="00553D6A">
        <w:rPr>
          <w:rFonts w:ascii="Arial" w:hAnsi="Arial" w:cs="Arial"/>
          <w:iCs/>
          <w:color w:val="002060"/>
          <w:sz w:val="24"/>
          <w:szCs w:val="24"/>
        </w:rPr>
        <w:t xml:space="preserve"> era stata </w:t>
      </w:r>
      <w:r w:rsidR="00054A0C" w:rsidRPr="00553D6A">
        <w:rPr>
          <w:rFonts w:ascii="Arial" w:hAnsi="Arial" w:cs="Arial"/>
          <w:iCs/>
          <w:color w:val="002060"/>
          <w:sz w:val="24"/>
          <w:szCs w:val="24"/>
        </w:rPr>
        <w:t>realizzata</w:t>
      </w:r>
      <w:r w:rsidR="00AD7A12" w:rsidRPr="00553D6A">
        <w:rPr>
          <w:rFonts w:ascii="Arial" w:hAnsi="Arial" w:cs="Arial"/>
          <w:iCs/>
          <w:color w:val="002060"/>
          <w:sz w:val="24"/>
          <w:szCs w:val="24"/>
        </w:rPr>
        <w:t xml:space="preserve"> per sostenere un peso sicuramente più leggero</w:t>
      </w:r>
      <w:r w:rsidR="008434C3" w:rsidRPr="00553D6A">
        <w:rPr>
          <w:rFonts w:ascii="Arial" w:hAnsi="Arial" w:cs="Arial"/>
          <w:iCs/>
          <w:color w:val="002060"/>
          <w:sz w:val="24"/>
          <w:szCs w:val="24"/>
        </w:rPr>
        <w:t xml:space="preserve"> (legno e non cemento armato)</w:t>
      </w:r>
      <w:r w:rsidR="00A05740" w:rsidRPr="00553D6A">
        <w:rPr>
          <w:rFonts w:ascii="Arial" w:hAnsi="Arial" w:cs="Arial"/>
          <w:iCs/>
          <w:color w:val="002060"/>
          <w:sz w:val="24"/>
          <w:szCs w:val="24"/>
        </w:rPr>
        <w:t>.</w:t>
      </w:r>
      <w:r w:rsidRPr="00553D6A">
        <w:rPr>
          <w:rFonts w:ascii="Arial" w:hAnsi="Arial" w:cs="Arial"/>
          <w:iCs/>
          <w:color w:val="002060"/>
          <w:sz w:val="24"/>
          <w:szCs w:val="24"/>
        </w:rPr>
        <w:t xml:space="preserve"> </w:t>
      </w:r>
    </w:p>
    <w:p w14:paraId="38133225" w14:textId="508BDFD5" w:rsidR="008434C3" w:rsidRPr="00553D6A" w:rsidRDefault="000965AB" w:rsidP="0057739A">
      <w:pPr>
        <w:pStyle w:val="Standard"/>
        <w:numPr>
          <w:ilvl w:val="0"/>
          <w:numId w:val="20"/>
        </w:numPr>
        <w:spacing w:after="120" w:line="240" w:lineRule="auto"/>
        <w:jc w:val="both"/>
        <w:rPr>
          <w:rFonts w:ascii="Arial" w:hAnsi="Arial" w:cs="Arial"/>
          <w:iCs/>
          <w:color w:val="002060"/>
          <w:sz w:val="24"/>
          <w:szCs w:val="24"/>
        </w:rPr>
      </w:pPr>
      <w:r w:rsidRPr="00553D6A">
        <w:rPr>
          <w:rFonts w:ascii="Arial" w:hAnsi="Arial" w:cs="Arial"/>
          <w:iCs/>
          <w:color w:val="002060"/>
          <w:sz w:val="24"/>
          <w:szCs w:val="24"/>
        </w:rPr>
        <w:t>Per il miglioramento del decoro/accessibilità dell’ingresso ed il rifacimento di pavimentazione senza appesantire la contribuzione dei condomini</w:t>
      </w:r>
      <w:r w:rsidR="00A05740" w:rsidRPr="00553D6A">
        <w:rPr>
          <w:rFonts w:ascii="Arial" w:hAnsi="Arial" w:cs="Arial"/>
          <w:iCs/>
          <w:color w:val="002060"/>
          <w:sz w:val="24"/>
          <w:szCs w:val="24"/>
        </w:rPr>
        <w:t xml:space="preserve">. </w:t>
      </w:r>
      <w:r w:rsidR="00054A0C" w:rsidRPr="00553D6A">
        <w:rPr>
          <w:rFonts w:ascii="Arial" w:hAnsi="Arial" w:cs="Arial"/>
          <w:iCs/>
          <w:color w:val="002060"/>
          <w:sz w:val="24"/>
          <w:szCs w:val="24"/>
        </w:rPr>
        <w:t xml:space="preserve">Com’è possibile? </w:t>
      </w:r>
      <w:r w:rsidR="00A05740" w:rsidRPr="00553D6A">
        <w:rPr>
          <w:rFonts w:ascii="Arial" w:hAnsi="Arial" w:cs="Arial"/>
          <w:iCs/>
          <w:color w:val="002060"/>
          <w:sz w:val="24"/>
          <w:szCs w:val="24"/>
        </w:rPr>
        <w:t>V</w:t>
      </w:r>
      <w:r w:rsidRPr="00553D6A">
        <w:rPr>
          <w:rFonts w:ascii="Arial" w:hAnsi="Arial" w:cs="Arial"/>
          <w:iCs/>
          <w:color w:val="002060"/>
          <w:sz w:val="24"/>
          <w:szCs w:val="24"/>
        </w:rPr>
        <w:t xml:space="preserve">orrebbe forse significare che tali lavori non </w:t>
      </w:r>
      <w:r w:rsidR="00480B60" w:rsidRPr="00553D6A">
        <w:rPr>
          <w:rFonts w:ascii="Arial" w:hAnsi="Arial" w:cs="Arial"/>
          <w:iCs/>
          <w:color w:val="002060"/>
          <w:sz w:val="24"/>
          <w:szCs w:val="24"/>
        </w:rPr>
        <w:t>s</w:t>
      </w:r>
      <w:r w:rsidRPr="00553D6A">
        <w:rPr>
          <w:rFonts w:ascii="Arial" w:hAnsi="Arial" w:cs="Arial"/>
          <w:iCs/>
          <w:color w:val="002060"/>
          <w:sz w:val="24"/>
          <w:szCs w:val="24"/>
        </w:rPr>
        <w:t>ono soggetti a spesa</w:t>
      </w:r>
      <w:r w:rsidR="00480B60" w:rsidRPr="00553D6A">
        <w:rPr>
          <w:rFonts w:ascii="Arial" w:hAnsi="Arial" w:cs="Arial"/>
          <w:iCs/>
          <w:color w:val="002060"/>
          <w:sz w:val="24"/>
          <w:szCs w:val="24"/>
        </w:rPr>
        <w:t>? V</w:t>
      </w:r>
      <w:r w:rsidRPr="00553D6A">
        <w:rPr>
          <w:rFonts w:ascii="Arial" w:hAnsi="Arial" w:cs="Arial"/>
          <w:iCs/>
          <w:color w:val="002060"/>
          <w:sz w:val="24"/>
          <w:szCs w:val="24"/>
        </w:rPr>
        <w:t>engono fatti gratis? Credo ci sia un errore nell’esposizione</w:t>
      </w:r>
      <w:r w:rsidR="008434C3" w:rsidRPr="00553D6A">
        <w:rPr>
          <w:rFonts w:ascii="Arial" w:hAnsi="Arial" w:cs="Arial"/>
          <w:iCs/>
          <w:color w:val="002060"/>
          <w:sz w:val="24"/>
          <w:szCs w:val="24"/>
        </w:rPr>
        <w:t>, O</w:t>
      </w:r>
      <w:r w:rsidR="0057739A" w:rsidRPr="00553D6A">
        <w:rPr>
          <w:rFonts w:ascii="Arial" w:hAnsi="Arial" w:cs="Arial"/>
          <w:iCs/>
          <w:color w:val="002060"/>
          <w:sz w:val="24"/>
          <w:szCs w:val="24"/>
        </w:rPr>
        <w:t>,</w:t>
      </w:r>
      <w:r w:rsidR="008434C3" w:rsidRPr="00553D6A">
        <w:rPr>
          <w:rFonts w:ascii="Arial" w:hAnsi="Arial" w:cs="Arial"/>
          <w:iCs/>
          <w:color w:val="002060"/>
          <w:sz w:val="24"/>
          <w:szCs w:val="24"/>
        </w:rPr>
        <w:t xml:space="preserve"> forse ritenendo consolidato il plus di contribuzione richiesto ai condomini per il 2014 e 2015, invece di restituirlo, verrebbe impiegato in tali realizzazioni?</w:t>
      </w:r>
    </w:p>
    <w:p w14:paraId="41D99BF0" w14:textId="21AE8112" w:rsidR="00480B60" w:rsidRPr="00553D6A" w:rsidRDefault="00480B60" w:rsidP="00EF0983">
      <w:pPr>
        <w:pStyle w:val="Standard"/>
        <w:spacing w:after="120" w:line="240" w:lineRule="auto"/>
        <w:ind w:left="720"/>
        <w:jc w:val="both"/>
        <w:rPr>
          <w:rFonts w:ascii="Arial" w:hAnsi="Arial" w:cs="Arial"/>
          <w:iCs/>
          <w:color w:val="002060"/>
          <w:sz w:val="24"/>
          <w:szCs w:val="24"/>
        </w:rPr>
      </w:pPr>
      <w:r w:rsidRPr="00553D6A">
        <w:rPr>
          <w:rFonts w:ascii="Arial" w:hAnsi="Arial" w:cs="Arial"/>
          <w:iCs/>
          <w:color w:val="002060"/>
          <w:sz w:val="24"/>
          <w:szCs w:val="24"/>
        </w:rPr>
        <w:t>E</w:t>
      </w:r>
      <w:r w:rsidR="00F76CFC">
        <w:rPr>
          <w:rFonts w:ascii="Arial" w:hAnsi="Arial" w:cs="Arial"/>
          <w:iCs/>
          <w:color w:val="002060"/>
          <w:sz w:val="24"/>
          <w:szCs w:val="24"/>
        </w:rPr>
        <w:t>,</w:t>
      </w:r>
      <w:r w:rsidRPr="00553D6A">
        <w:rPr>
          <w:rFonts w:ascii="Arial" w:hAnsi="Arial" w:cs="Arial"/>
          <w:iCs/>
          <w:color w:val="002060"/>
          <w:sz w:val="24"/>
          <w:szCs w:val="24"/>
        </w:rPr>
        <w:t xml:space="preserve"> poi</w:t>
      </w:r>
      <w:r w:rsidR="00F76CFC">
        <w:rPr>
          <w:rFonts w:ascii="Arial" w:hAnsi="Arial" w:cs="Arial"/>
          <w:iCs/>
          <w:color w:val="002060"/>
          <w:sz w:val="24"/>
          <w:szCs w:val="24"/>
        </w:rPr>
        <w:t>,</w:t>
      </w:r>
      <w:r w:rsidRPr="00553D6A">
        <w:rPr>
          <w:rFonts w:ascii="Arial" w:hAnsi="Arial" w:cs="Arial"/>
          <w:iCs/>
          <w:color w:val="002060"/>
          <w:sz w:val="24"/>
          <w:szCs w:val="24"/>
        </w:rPr>
        <w:t xml:space="preserve"> siamo sicuri che sono lavori urgenti ed impr</w:t>
      </w:r>
      <w:r w:rsidR="00037B9F" w:rsidRPr="00553D6A">
        <w:rPr>
          <w:rFonts w:ascii="Arial" w:hAnsi="Arial" w:cs="Arial"/>
          <w:iCs/>
          <w:color w:val="002060"/>
          <w:sz w:val="24"/>
          <w:szCs w:val="24"/>
        </w:rPr>
        <w:t>o</w:t>
      </w:r>
      <w:r w:rsidRPr="00553D6A">
        <w:rPr>
          <w:rFonts w:ascii="Arial" w:hAnsi="Arial" w:cs="Arial"/>
          <w:iCs/>
          <w:color w:val="002060"/>
          <w:sz w:val="24"/>
          <w:szCs w:val="24"/>
        </w:rPr>
        <w:t>c</w:t>
      </w:r>
      <w:r w:rsidR="00A05740" w:rsidRPr="00553D6A">
        <w:rPr>
          <w:rFonts w:ascii="Arial" w:hAnsi="Arial" w:cs="Arial"/>
          <w:iCs/>
          <w:color w:val="002060"/>
          <w:sz w:val="24"/>
          <w:szCs w:val="24"/>
        </w:rPr>
        <w:t>r</w:t>
      </w:r>
      <w:r w:rsidRPr="00553D6A">
        <w:rPr>
          <w:rFonts w:ascii="Arial" w:hAnsi="Arial" w:cs="Arial"/>
          <w:iCs/>
          <w:color w:val="002060"/>
          <w:sz w:val="24"/>
          <w:szCs w:val="24"/>
        </w:rPr>
        <w:t>astinabili</w:t>
      </w:r>
      <w:r w:rsidR="00037B9F" w:rsidRPr="00553D6A">
        <w:rPr>
          <w:rFonts w:ascii="Arial" w:hAnsi="Arial" w:cs="Arial"/>
          <w:iCs/>
          <w:color w:val="002060"/>
          <w:sz w:val="24"/>
          <w:szCs w:val="24"/>
        </w:rPr>
        <w:t xml:space="preserve"> per la messa in sicurezza del villaggio</w:t>
      </w:r>
      <w:r w:rsidR="008434C3" w:rsidRPr="00553D6A">
        <w:rPr>
          <w:rFonts w:ascii="Arial" w:hAnsi="Arial" w:cs="Arial"/>
          <w:iCs/>
          <w:color w:val="002060"/>
          <w:sz w:val="24"/>
          <w:szCs w:val="24"/>
        </w:rPr>
        <w:t xml:space="preserve"> e quindi di competenza dell’amministratore?</w:t>
      </w:r>
    </w:p>
    <w:p w14:paraId="3B4770E7" w14:textId="07246C2B" w:rsidR="008434C3" w:rsidRPr="00553D6A" w:rsidRDefault="008434C3" w:rsidP="00553D6A">
      <w:pPr>
        <w:pStyle w:val="Default"/>
        <w:spacing w:after="120"/>
        <w:rPr>
          <w:color w:val="002060"/>
        </w:rPr>
      </w:pPr>
      <w:r w:rsidRPr="00553D6A">
        <w:rPr>
          <w:rFonts w:ascii="Arial" w:hAnsi="Arial" w:cs="Arial"/>
          <w:iCs/>
          <w:color w:val="002060"/>
        </w:rPr>
        <w:lastRenderedPageBreak/>
        <w:t>In</w:t>
      </w:r>
      <w:r w:rsidR="00724F18" w:rsidRPr="00553D6A">
        <w:rPr>
          <w:rFonts w:ascii="Arial" w:hAnsi="Arial" w:cs="Arial"/>
          <w:iCs/>
          <w:color w:val="002060"/>
        </w:rPr>
        <w:t>fine</w:t>
      </w:r>
      <w:r w:rsidRPr="00553D6A">
        <w:rPr>
          <w:rFonts w:ascii="Arial" w:hAnsi="Arial" w:cs="Arial"/>
          <w:iCs/>
          <w:color w:val="002060"/>
        </w:rPr>
        <w:t>, proprio sull’ultimo ipotetico lavoro da effettuare</w:t>
      </w:r>
      <w:r w:rsidR="0057739A" w:rsidRPr="00553D6A">
        <w:rPr>
          <w:rFonts w:ascii="Arial" w:hAnsi="Arial" w:cs="Arial"/>
          <w:iCs/>
          <w:color w:val="002060"/>
        </w:rPr>
        <w:t xml:space="preserve"> “</w:t>
      </w:r>
      <w:r w:rsidRPr="00553D6A">
        <w:rPr>
          <w:i/>
          <w:color w:val="auto"/>
        </w:rPr>
        <w:t>messa in sicurezza prima dell’estate, un altro tratto di strada per consentire una viabilità confacente</w:t>
      </w:r>
      <w:r w:rsidRPr="00553D6A">
        <w:rPr>
          <w:color w:val="auto"/>
        </w:rPr>
        <w:t xml:space="preserve"> </w:t>
      </w:r>
      <w:r w:rsidRPr="00553D6A">
        <w:rPr>
          <w:color w:val="002060"/>
        </w:rPr>
        <w:t xml:space="preserve">(e non sicura) </w:t>
      </w:r>
      <w:r w:rsidRPr="00553D6A">
        <w:rPr>
          <w:i/>
          <w:color w:val="auto"/>
        </w:rPr>
        <w:t>alle es</w:t>
      </w:r>
      <w:r w:rsidRPr="00553D6A">
        <w:rPr>
          <w:i/>
          <w:color w:val="auto"/>
        </w:rPr>
        <w:t>i</w:t>
      </w:r>
      <w:r w:rsidRPr="00553D6A">
        <w:rPr>
          <w:i/>
          <w:color w:val="auto"/>
        </w:rPr>
        <w:t>genze della comunità</w:t>
      </w:r>
      <w:r w:rsidRPr="00553D6A">
        <w:rPr>
          <w:color w:val="002060"/>
        </w:rPr>
        <w:t xml:space="preserve">” volevo </w:t>
      </w:r>
      <w:r w:rsidR="00F76CFC">
        <w:rPr>
          <w:color w:val="002060"/>
        </w:rPr>
        <w:t>farvi partecipi della</w:t>
      </w:r>
      <w:r w:rsidRPr="00553D6A">
        <w:rPr>
          <w:color w:val="002060"/>
        </w:rPr>
        <w:t xml:space="preserve"> seguente considerazione.</w:t>
      </w:r>
    </w:p>
    <w:p w14:paraId="3EC32882" w14:textId="5FCEDFEE" w:rsidR="008434C3" w:rsidRPr="00553D6A" w:rsidRDefault="008434C3" w:rsidP="008434C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 xml:space="preserve">Visto che trattasi di lavori da eseguire su beni pubblici (strade) la cui competenza di decisione e di spesa </w:t>
      </w:r>
      <w:r w:rsidR="00F76CFC">
        <w:rPr>
          <w:rFonts w:ascii="Arial" w:hAnsi="Arial" w:cs="Arial"/>
          <w:iCs/>
          <w:color w:val="002060"/>
          <w:sz w:val="24"/>
          <w:szCs w:val="24"/>
        </w:rPr>
        <w:t>è</w:t>
      </w:r>
      <w:r w:rsidRPr="00553D6A">
        <w:rPr>
          <w:rFonts w:ascii="Arial" w:hAnsi="Arial" w:cs="Arial"/>
          <w:iCs/>
          <w:color w:val="002060"/>
          <w:sz w:val="24"/>
          <w:szCs w:val="24"/>
        </w:rPr>
        <w:t xml:space="preserve"> del comune di Manfredonia, perché accollare al </w:t>
      </w:r>
      <w:proofErr w:type="spellStart"/>
      <w:r w:rsidRPr="00553D6A">
        <w:rPr>
          <w:rFonts w:ascii="Arial" w:hAnsi="Arial" w:cs="Arial"/>
          <w:iCs/>
          <w:color w:val="002060"/>
          <w:sz w:val="24"/>
          <w:szCs w:val="24"/>
        </w:rPr>
        <w:t>supercondominio</w:t>
      </w:r>
      <w:proofErr w:type="spellEnd"/>
      <w:r w:rsidRPr="00553D6A">
        <w:rPr>
          <w:rFonts w:ascii="Arial" w:hAnsi="Arial" w:cs="Arial"/>
          <w:iCs/>
          <w:color w:val="002060"/>
          <w:sz w:val="24"/>
          <w:szCs w:val="24"/>
        </w:rPr>
        <w:t xml:space="preserve"> tale onere? Anche in considerazione dell’assenza di una specifica delibera assembleare in merito?</w:t>
      </w:r>
    </w:p>
    <w:p w14:paraId="5FF5CDDB" w14:textId="29DADE5B" w:rsidR="008434C3" w:rsidRPr="00553D6A" w:rsidRDefault="008434C3" w:rsidP="008434C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Mi</w:t>
      </w:r>
      <w:r w:rsidR="00553D6A" w:rsidRPr="00553D6A">
        <w:rPr>
          <w:rFonts w:ascii="Arial" w:hAnsi="Arial" w:cs="Arial"/>
          <w:iCs/>
          <w:color w:val="002060"/>
          <w:sz w:val="24"/>
          <w:szCs w:val="24"/>
        </w:rPr>
        <w:t>,</w:t>
      </w:r>
      <w:r w:rsidR="00724F18" w:rsidRPr="00553D6A">
        <w:rPr>
          <w:rFonts w:ascii="Arial" w:hAnsi="Arial" w:cs="Arial"/>
          <w:iCs/>
          <w:color w:val="002060"/>
          <w:sz w:val="24"/>
          <w:szCs w:val="24"/>
        </w:rPr>
        <w:t xml:space="preserve"> </w:t>
      </w:r>
      <w:r w:rsidRPr="00553D6A">
        <w:rPr>
          <w:rFonts w:ascii="Arial" w:hAnsi="Arial" w:cs="Arial"/>
          <w:iCs/>
          <w:color w:val="002060"/>
          <w:sz w:val="24"/>
          <w:szCs w:val="24"/>
        </w:rPr>
        <w:t>e vi</w:t>
      </w:r>
      <w:r w:rsidR="00553D6A" w:rsidRPr="00553D6A">
        <w:rPr>
          <w:rFonts w:ascii="Arial" w:hAnsi="Arial" w:cs="Arial"/>
          <w:iCs/>
          <w:color w:val="002060"/>
          <w:sz w:val="24"/>
          <w:szCs w:val="24"/>
        </w:rPr>
        <w:t>,</w:t>
      </w:r>
      <w:r w:rsidR="00724F18" w:rsidRPr="00553D6A">
        <w:rPr>
          <w:rFonts w:ascii="Arial" w:hAnsi="Arial" w:cs="Arial"/>
          <w:iCs/>
          <w:color w:val="002060"/>
          <w:sz w:val="24"/>
          <w:szCs w:val="24"/>
        </w:rPr>
        <w:t xml:space="preserve"> </w:t>
      </w:r>
      <w:r w:rsidRPr="00553D6A">
        <w:rPr>
          <w:rFonts w:ascii="Arial" w:hAnsi="Arial" w:cs="Arial"/>
          <w:iCs/>
          <w:color w:val="002060"/>
          <w:sz w:val="24"/>
          <w:szCs w:val="24"/>
        </w:rPr>
        <w:t xml:space="preserve">chiedo un tale intervento non potrebbe costituire per il Comune di Manfredonia </w:t>
      </w:r>
      <w:r w:rsidR="0057739A" w:rsidRPr="00553D6A">
        <w:rPr>
          <w:rFonts w:ascii="Arial" w:hAnsi="Arial" w:cs="Arial"/>
          <w:iCs/>
          <w:color w:val="002060"/>
          <w:sz w:val="24"/>
          <w:szCs w:val="24"/>
        </w:rPr>
        <w:t>un</w:t>
      </w:r>
      <w:r w:rsidRPr="00553D6A">
        <w:rPr>
          <w:rFonts w:ascii="Arial" w:hAnsi="Arial" w:cs="Arial"/>
          <w:iCs/>
          <w:color w:val="002060"/>
          <w:sz w:val="24"/>
          <w:szCs w:val="24"/>
        </w:rPr>
        <w:t xml:space="preserve"> cavallo di Troia nel senso che  potrebbe facilmente affermare “</w:t>
      </w:r>
      <w:r w:rsidR="0057739A" w:rsidRPr="00553D6A">
        <w:rPr>
          <w:rFonts w:ascii="Arial" w:hAnsi="Arial" w:cs="Arial"/>
          <w:i/>
          <w:iCs/>
          <w:sz w:val="24"/>
          <w:szCs w:val="24"/>
        </w:rPr>
        <w:t>procedono</w:t>
      </w:r>
      <w:r w:rsidRPr="00553D6A">
        <w:rPr>
          <w:rFonts w:ascii="Arial" w:hAnsi="Arial" w:cs="Arial"/>
          <w:i/>
          <w:iCs/>
          <w:sz w:val="24"/>
          <w:szCs w:val="24"/>
        </w:rPr>
        <w:t xml:space="preserve"> di loro iniziativa </w:t>
      </w:r>
      <w:r w:rsidR="0057739A" w:rsidRPr="00553D6A">
        <w:rPr>
          <w:rFonts w:ascii="Arial" w:hAnsi="Arial" w:cs="Arial"/>
          <w:i/>
          <w:iCs/>
          <w:sz w:val="24"/>
          <w:szCs w:val="24"/>
        </w:rPr>
        <w:t>al</w:t>
      </w:r>
      <w:r w:rsidRPr="00553D6A">
        <w:rPr>
          <w:rFonts w:ascii="Arial" w:hAnsi="Arial" w:cs="Arial"/>
          <w:i/>
          <w:iCs/>
          <w:sz w:val="24"/>
          <w:szCs w:val="24"/>
        </w:rPr>
        <w:t>la manutenzione delle strade, sono quindi consapevoli dei loro doveri riguardo alla manutenzione</w:t>
      </w:r>
      <w:r w:rsidR="0057739A" w:rsidRPr="00553D6A">
        <w:rPr>
          <w:rFonts w:ascii="Arial" w:hAnsi="Arial" w:cs="Arial"/>
          <w:i/>
          <w:iCs/>
          <w:sz w:val="24"/>
          <w:szCs w:val="24"/>
        </w:rPr>
        <w:t>/gestione</w:t>
      </w:r>
      <w:r w:rsidRPr="00553D6A">
        <w:rPr>
          <w:rFonts w:ascii="Arial" w:hAnsi="Arial" w:cs="Arial"/>
          <w:i/>
          <w:iCs/>
          <w:sz w:val="24"/>
          <w:szCs w:val="24"/>
        </w:rPr>
        <w:t xml:space="preserve"> dei beni pubblici?</w:t>
      </w:r>
      <w:r w:rsidRPr="00553D6A">
        <w:rPr>
          <w:rFonts w:ascii="Arial" w:hAnsi="Arial" w:cs="Arial"/>
          <w:iCs/>
          <w:color w:val="002060"/>
          <w:sz w:val="24"/>
          <w:szCs w:val="24"/>
        </w:rPr>
        <w:t>”.</w:t>
      </w:r>
    </w:p>
    <w:p w14:paraId="73E72119" w14:textId="400DE055" w:rsidR="008434C3" w:rsidRPr="00553D6A" w:rsidRDefault="008434C3" w:rsidP="008434C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Sarebbe opportuno, a mio avviso, se si vo</w:t>
      </w:r>
      <w:r w:rsidR="0057739A" w:rsidRPr="00553D6A">
        <w:rPr>
          <w:rFonts w:ascii="Arial" w:hAnsi="Arial" w:cs="Arial"/>
          <w:iCs/>
          <w:color w:val="002060"/>
          <w:sz w:val="24"/>
          <w:szCs w:val="24"/>
        </w:rPr>
        <w:t>lessero comunque</w:t>
      </w:r>
      <w:r w:rsidRPr="00553D6A">
        <w:rPr>
          <w:rFonts w:ascii="Arial" w:hAnsi="Arial" w:cs="Arial"/>
          <w:iCs/>
          <w:color w:val="002060"/>
          <w:sz w:val="24"/>
          <w:szCs w:val="24"/>
        </w:rPr>
        <w:t xml:space="preserve"> eseguire dei lavori che competono al Comune,  ben approfondire la strategia più giusta </w:t>
      </w:r>
      <w:r w:rsidR="00B220F7" w:rsidRPr="00553D6A">
        <w:rPr>
          <w:rFonts w:ascii="Arial" w:hAnsi="Arial" w:cs="Arial"/>
          <w:iCs/>
          <w:color w:val="002060"/>
          <w:sz w:val="24"/>
          <w:szCs w:val="24"/>
        </w:rPr>
        <w:t xml:space="preserve">per far sì che qualora il Comune non adempia volontariamente ai propri impegni possa e debba essere chiamato alla coercitiva copertura di tali spese. Si potrebbe, </w:t>
      </w:r>
      <w:r w:rsidR="005A6902">
        <w:rPr>
          <w:rFonts w:ascii="Arial" w:hAnsi="Arial" w:cs="Arial"/>
          <w:iCs/>
          <w:color w:val="002060"/>
          <w:sz w:val="24"/>
          <w:szCs w:val="24"/>
        </w:rPr>
        <w:t xml:space="preserve">ad esempio, </w:t>
      </w:r>
      <w:r w:rsidR="00B220F7" w:rsidRPr="00553D6A">
        <w:rPr>
          <w:rFonts w:ascii="Arial" w:hAnsi="Arial" w:cs="Arial"/>
          <w:iCs/>
          <w:color w:val="002060"/>
          <w:sz w:val="24"/>
          <w:szCs w:val="24"/>
        </w:rPr>
        <w:t>quindi, iniziare con</w:t>
      </w:r>
      <w:r w:rsidRPr="00553D6A">
        <w:rPr>
          <w:rFonts w:ascii="Arial" w:hAnsi="Arial" w:cs="Arial"/>
          <w:iCs/>
          <w:color w:val="002060"/>
          <w:sz w:val="24"/>
          <w:szCs w:val="24"/>
        </w:rPr>
        <w:t xml:space="preserve"> una richiesta preventiva al Comune precisando che in caso di non adempimento volontario ai </w:t>
      </w:r>
      <w:r w:rsidR="005A6902">
        <w:rPr>
          <w:rFonts w:ascii="Arial" w:hAnsi="Arial" w:cs="Arial"/>
          <w:iCs/>
          <w:color w:val="002060"/>
          <w:sz w:val="24"/>
          <w:szCs w:val="24"/>
        </w:rPr>
        <w:t>suoi</w:t>
      </w:r>
      <w:r w:rsidRPr="00553D6A">
        <w:rPr>
          <w:rFonts w:ascii="Arial" w:hAnsi="Arial" w:cs="Arial"/>
          <w:iCs/>
          <w:color w:val="002060"/>
          <w:sz w:val="24"/>
          <w:szCs w:val="24"/>
        </w:rPr>
        <w:t xml:space="preserve"> impegni avrebbe provveduto il </w:t>
      </w:r>
      <w:proofErr w:type="spellStart"/>
      <w:r w:rsidRPr="00553D6A">
        <w:rPr>
          <w:rFonts w:ascii="Arial" w:hAnsi="Arial" w:cs="Arial"/>
          <w:iCs/>
          <w:color w:val="002060"/>
          <w:sz w:val="24"/>
          <w:szCs w:val="24"/>
        </w:rPr>
        <w:t>supercondominio</w:t>
      </w:r>
      <w:proofErr w:type="spellEnd"/>
      <w:r w:rsidR="0057739A" w:rsidRPr="00553D6A">
        <w:rPr>
          <w:rFonts w:ascii="Arial" w:hAnsi="Arial" w:cs="Arial"/>
          <w:iCs/>
          <w:color w:val="002060"/>
          <w:sz w:val="24"/>
          <w:szCs w:val="24"/>
        </w:rPr>
        <w:t xml:space="preserve"> in sua vece</w:t>
      </w:r>
      <w:r w:rsidRPr="00553D6A">
        <w:rPr>
          <w:rFonts w:ascii="Arial" w:hAnsi="Arial" w:cs="Arial"/>
          <w:iCs/>
          <w:color w:val="002060"/>
          <w:sz w:val="24"/>
          <w:szCs w:val="24"/>
        </w:rPr>
        <w:t xml:space="preserve">  con la successiva richiesta coercitiva di copertura della spese.</w:t>
      </w:r>
    </w:p>
    <w:p w14:paraId="04EDB46C" w14:textId="2561F8BE" w:rsidR="008434C3" w:rsidRPr="00553D6A" w:rsidRDefault="008434C3" w:rsidP="008434C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Grazie per l’attenzione</w:t>
      </w:r>
    </w:p>
    <w:p w14:paraId="41BB8E54" w14:textId="4E35C663" w:rsidR="00AD7A12" w:rsidRPr="00553D6A" w:rsidRDefault="00AD7A12" w:rsidP="00B220F7">
      <w:pPr>
        <w:pStyle w:val="Standard"/>
        <w:spacing w:after="0" w:line="240" w:lineRule="auto"/>
        <w:jc w:val="both"/>
        <w:rPr>
          <w:rFonts w:ascii="Arial" w:hAnsi="Arial" w:cs="Arial"/>
          <w:iCs/>
          <w:color w:val="002060"/>
          <w:sz w:val="24"/>
          <w:szCs w:val="24"/>
        </w:rPr>
      </w:pPr>
    </w:p>
    <w:p w14:paraId="037DD299" w14:textId="0F16C302" w:rsidR="0050585D" w:rsidRPr="00553D6A" w:rsidRDefault="0050585D"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R. Andrea Bevere</w:t>
      </w:r>
    </w:p>
    <w:p w14:paraId="3A89B824" w14:textId="77777777" w:rsidR="00724F18" w:rsidRPr="00553D6A" w:rsidRDefault="004F4E2C"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24/03/201</w:t>
      </w:r>
      <w:r w:rsidR="00724F18" w:rsidRPr="00553D6A">
        <w:rPr>
          <w:rFonts w:ascii="Arial" w:hAnsi="Arial" w:cs="Arial"/>
          <w:iCs/>
          <w:color w:val="002060"/>
          <w:sz w:val="24"/>
          <w:szCs w:val="24"/>
        </w:rPr>
        <w:t>6</w:t>
      </w:r>
    </w:p>
    <w:p w14:paraId="0E2C8782" w14:textId="77777777" w:rsidR="00724F18" w:rsidRPr="00553D6A" w:rsidRDefault="00724F18" w:rsidP="00EF0983">
      <w:pPr>
        <w:pStyle w:val="Standard"/>
        <w:spacing w:after="120" w:line="240" w:lineRule="auto"/>
        <w:jc w:val="both"/>
        <w:rPr>
          <w:rFonts w:ascii="Arial" w:hAnsi="Arial" w:cs="Arial"/>
          <w:iCs/>
          <w:color w:val="002060"/>
          <w:sz w:val="24"/>
          <w:szCs w:val="24"/>
        </w:rPr>
      </w:pPr>
    </w:p>
    <w:p w14:paraId="5D5737D4" w14:textId="77777777" w:rsidR="00724F18" w:rsidRPr="00553D6A" w:rsidRDefault="00724F18" w:rsidP="00EF0983">
      <w:pPr>
        <w:pStyle w:val="Standard"/>
        <w:spacing w:after="120" w:line="240" w:lineRule="auto"/>
        <w:jc w:val="both"/>
        <w:rPr>
          <w:rFonts w:ascii="Arial" w:hAnsi="Arial" w:cs="Arial"/>
          <w:iCs/>
          <w:color w:val="002060"/>
          <w:sz w:val="24"/>
          <w:szCs w:val="24"/>
        </w:rPr>
      </w:pPr>
    </w:p>
    <w:p w14:paraId="515667EF" w14:textId="77777777" w:rsidR="00724F18" w:rsidRPr="00553D6A" w:rsidRDefault="00724F18" w:rsidP="00EF0983">
      <w:pPr>
        <w:pStyle w:val="Standard"/>
        <w:spacing w:after="120" w:line="240" w:lineRule="auto"/>
        <w:jc w:val="both"/>
        <w:rPr>
          <w:rFonts w:ascii="Arial" w:hAnsi="Arial" w:cs="Arial"/>
          <w:iCs/>
          <w:color w:val="002060"/>
          <w:sz w:val="24"/>
          <w:szCs w:val="24"/>
        </w:rPr>
      </w:pPr>
      <w:r w:rsidRPr="00553D6A">
        <w:rPr>
          <w:rFonts w:ascii="Arial" w:hAnsi="Arial" w:cs="Arial"/>
          <w:iCs/>
          <w:color w:val="002060"/>
          <w:sz w:val="24"/>
          <w:szCs w:val="24"/>
        </w:rPr>
        <w:t xml:space="preserve">PS: </w:t>
      </w:r>
    </w:p>
    <w:p w14:paraId="2161F836" w14:textId="300C74A4" w:rsidR="003F34D6" w:rsidRPr="00553D6A" w:rsidRDefault="00724F18" w:rsidP="00724F18">
      <w:pPr>
        <w:pStyle w:val="Standard"/>
        <w:spacing w:after="120" w:line="240" w:lineRule="auto"/>
        <w:jc w:val="both"/>
        <w:rPr>
          <w:iCs/>
          <w:color w:val="002060"/>
          <w:sz w:val="40"/>
          <w:szCs w:val="40"/>
        </w:rPr>
      </w:pPr>
      <w:r w:rsidRPr="00553D6A">
        <w:rPr>
          <w:rFonts w:ascii="Arial" w:hAnsi="Arial" w:cs="Arial"/>
          <w:iCs/>
          <w:color w:val="002060"/>
          <w:sz w:val="24"/>
          <w:szCs w:val="24"/>
        </w:rPr>
        <w:t>A seguire i richiamati articoli del cc</w:t>
      </w:r>
    </w:p>
    <w:p w14:paraId="22C1C359" w14:textId="2A7D04FF" w:rsidR="003F34D6" w:rsidRPr="007D6E0D" w:rsidRDefault="00AD7A12" w:rsidP="003F34D6">
      <w:pPr>
        <w:pStyle w:val="Titolo2"/>
        <w:spacing w:before="45" w:after="96"/>
        <w:rPr>
          <w:rFonts w:ascii="Tahoma" w:hAnsi="Tahoma" w:cs="Tahoma"/>
          <w:color w:val="auto"/>
          <w:sz w:val="22"/>
          <w:szCs w:val="22"/>
        </w:rPr>
      </w:pPr>
      <w:r w:rsidRPr="007D6E0D">
        <w:rPr>
          <w:rFonts w:ascii="Tahoma" w:hAnsi="Tahoma" w:cs="Tahoma"/>
          <w:color w:val="auto"/>
          <w:sz w:val="22"/>
          <w:szCs w:val="22"/>
        </w:rPr>
        <w:t>A</w:t>
      </w:r>
      <w:r w:rsidR="003F34D6" w:rsidRPr="007D6E0D">
        <w:rPr>
          <w:rFonts w:ascii="Tahoma" w:hAnsi="Tahoma" w:cs="Tahoma"/>
          <w:color w:val="auto"/>
          <w:sz w:val="22"/>
          <w:szCs w:val="22"/>
        </w:rPr>
        <w:t>rt. 1122 ter Codice Civile</w:t>
      </w:r>
    </w:p>
    <w:p w14:paraId="2729BEB0" w14:textId="17C2F0BA" w:rsidR="003F34D6" w:rsidRPr="007D6E0D" w:rsidRDefault="00562F4C" w:rsidP="004F4E2C">
      <w:pPr>
        <w:spacing w:after="0"/>
        <w:rPr>
          <w:rFonts w:ascii="Tahoma" w:hAnsi="Tahoma"/>
          <w:i/>
          <w:sz w:val="17"/>
          <w:szCs w:val="17"/>
        </w:rPr>
      </w:pPr>
      <w:r w:rsidRPr="007D6E0D">
        <w:rPr>
          <w:rFonts w:ascii="Tahoma" w:hAnsi="Tahoma"/>
          <w:i/>
          <w:sz w:val="21"/>
          <w:szCs w:val="21"/>
        </w:rPr>
        <w:t xml:space="preserve">Le </w:t>
      </w:r>
      <w:proofErr w:type="spellStart"/>
      <w:r w:rsidRPr="007D6E0D">
        <w:rPr>
          <w:rFonts w:ascii="Tahoma" w:hAnsi="Tahoma"/>
          <w:i/>
          <w:sz w:val="21"/>
          <w:szCs w:val="21"/>
        </w:rPr>
        <w:t>de</w:t>
      </w:r>
      <w:r w:rsidR="003F34D6" w:rsidRPr="007D6E0D">
        <w:rPr>
          <w:rFonts w:ascii="Tahoma" w:hAnsi="Tahoma"/>
          <w:i/>
          <w:sz w:val="21"/>
          <w:szCs w:val="21"/>
        </w:rPr>
        <w:t>iberazioni</w:t>
      </w:r>
      <w:proofErr w:type="spellEnd"/>
      <w:r w:rsidR="003F34D6" w:rsidRPr="007D6E0D">
        <w:rPr>
          <w:rFonts w:ascii="Tahoma" w:hAnsi="Tahoma"/>
          <w:i/>
          <w:sz w:val="21"/>
          <w:szCs w:val="21"/>
        </w:rPr>
        <w:t xml:space="preserve"> concernenti l'installazione sulle parti comuni dell'edificio di impianti volti a consentire la videosorveglianza</w:t>
      </w:r>
      <w:r w:rsidR="003F34D6" w:rsidRPr="007D6E0D">
        <w:rPr>
          <w:rStyle w:val="apple-converted-space"/>
          <w:rFonts w:ascii="Tahoma" w:hAnsi="Tahoma"/>
          <w:i/>
          <w:sz w:val="21"/>
          <w:szCs w:val="21"/>
        </w:rPr>
        <w:t> </w:t>
      </w:r>
      <w:r w:rsidR="003F34D6" w:rsidRPr="007D6E0D">
        <w:rPr>
          <w:rFonts w:ascii="Tahoma" w:hAnsi="Tahoma"/>
          <w:i/>
          <w:sz w:val="21"/>
          <w:szCs w:val="21"/>
        </w:rPr>
        <w:t>su di esse sono approvate dall'assemblea con la maggioranza di cui al secondo comma dell'articolo</w:t>
      </w:r>
      <w:r w:rsidR="003F34D6" w:rsidRPr="007D6E0D">
        <w:rPr>
          <w:rStyle w:val="apple-converted-space"/>
          <w:rFonts w:ascii="Tahoma" w:hAnsi="Tahoma"/>
          <w:i/>
          <w:sz w:val="21"/>
          <w:szCs w:val="21"/>
        </w:rPr>
        <w:t> </w:t>
      </w:r>
      <w:hyperlink r:id="rId8" w:tooltip="Costituzione dell'assemblea e validità delle deliberazioni" w:history="1">
        <w:r w:rsidR="003F34D6" w:rsidRPr="007D6E0D">
          <w:rPr>
            <w:rStyle w:val="Collegamentoipertestuale"/>
            <w:rFonts w:ascii="Tahoma" w:hAnsi="Tahoma"/>
            <w:i/>
            <w:color w:val="auto"/>
            <w:sz w:val="21"/>
            <w:szCs w:val="21"/>
            <w:u w:val="none"/>
          </w:rPr>
          <w:t>1136</w:t>
        </w:r>
      </w:hyperlink>
      <w:r w:rsidR="003F34D6" w:rsidRPr="007D6E0D">
        <w:rPr>
          <w:rFonts w:ascii="Tahoma" w:hAnsi="Tahoma"/>
          <w:i/>
          <w:sz w:val="21"/>
          <w:szCs w:val="21"/>
        </w:rPr>
        <w:t>.</w:t>
      </w:r>
    </w:p>
    <w:p w14:paraId="07853C09" w14:textId="77777777" w:rsidR="003F34D6" w:rsidRPr="007D6E0D" w:rsidRDefault="003F34D6" w:rsidP="004F4E2C">
      <w:pPr>
        <w:pStyle w:val="Titolo3"/>
        <w:spacing w:before="240"/>
        <w:rPr>
          <w:rFonts w:ascii="Tahoma" w:hAnsi="Tahoma" w:cs="Tahoma"/>
          <w:color w:val="auto"/>
        </w:rPr>
      </w:pPr>
      <w:r w:rsidRPr="007D6E0D">
        <w:rPr>
          <w:rFonts w:ascii="Tahoma" w:hAnsi="Tahoma" w:cs="Tahoma"/>
          <w:color w:val="auto"/>
        </w:rPr>
        <w:t>Note</w:t>
      </w:r>
    </w:p>
    <w:p w14:paraId="44B6D4DF" w14:textId="77777777" w:rsidR="004F4E2C" w:rsidRPr="007D6E0D" w:rsidRDefault="003F34D6" w:rsidP="004F4E2C">
      <w:pPr>
        <w:pStyle w:val="corpodeltesto"/>
        <w:spacing w:before="0" w:beforeAutospacing="0" w:after="120" w:afterAutospacing="0"/>
        <w:rPr>
          <w:rFonts w:ascii="Tahoma" w:hAnsi="Tahoma" w:cs="Tahoma"/>
          <w:sz w:val="20"/>
          <w:szCs w:val="20"/>
        </w:rPr>
      </w:pPr>
      <w:r w:rsidRPr="007D6E0D">
        <w:rPr>
          <w:rFonts w:ascii="Tahoma" w:hAnsi="Tahoma" w:cs="Tahoma"/>
          <w:sz w:val="20"/>
          <w:szCs w:val="20"/>
        </w:rPr>
        <w:t>(</w:t>
      </w:r>
      <w:r w:rsidR="00562F4C" w:rsidRPr="007D6E0D">
        <w:rPr>
          <w:rFonts w:ascii="Tahoma" w:hAnsi="Tahoma" w:cs="Tahoma"/>
          <w:sz w:val="20"/>
          <w:szCs w:val="20"/>
        </w:rPr>
        <w:t>1</w:t>
      </w:r>
      <w:r w:rsidRPr="007D6E0D">
        <w:rPr>
          <w:rFonts w:ascii="Tahoma" w:hAnsi="Tahoma" w:cs="Tahoma"/>
          <w:sz w:val="20"/>
          <w:szCs w:val="20"/>
        </w:rPr>
        <w:t>) I sistemi di videosorveglianza sulle parti comuni degli edifici non devono violare la</w:t>
      </w:r>
      <w:r w:rsidRPr="007D6E0D">
        <w:rPr>
          <w:rStyle w:val="apple-converted-space"/>
          <w:rFonts w:ascii="Tahoma" w:hAnsi="Tahoma" w:cs="Tahoma"/>
          <w:sz w:val="20"/>
          <w:szCs w:val="20"/>
        </w:rPr>
        <w:t> </w:t>
      </w:r>
      <w:r w:rsidRPr="007D6E0D">
        <w:rPr>
          <w:rStyle w:val="Enfasicorsivo"/>
          <w:rFonts w:ascii="Tahoma" w:hAnsi="Tahoma" w:cs="Tahoma"/>
          <w:sz w:val="20"/>
          <w:szCs w:val="20"/>
        </w:rPr>
        <w:t>privacy</w:t>
      </w:r>
      <w:r w:rsidRPr="007D6E0D">
        <w:rPr>
          <w:rStyle w:val="apple-converted-space"/>
          <w:rFonts w:ascii="Tahoma" w:hAnsi="Tahoma" w:cs="Tahoma"/>
          <w:sz w:val="20"/>
          <w:szCs w:val="20"/>
        </w:rPr>
        <w:t> </w:t>
      </w:r>
      <w:r w:rsidRPr="007D6E0D">
        <w:rPr>
          <w:rFonts w:ascii="Tahoma" w:hAnsi="Tahoma" w:cs="Tahoma"/>
          <w:sz w:val="20"/>
          <w:szCs w:val="20"/>
        </w:rPr>
        <w:t>di coloro che fruiscono di tali spazi: si tratta quindi di una soluzione residuale, da adottare solo laddove ogni altra misura di controllo si sia rivelata insufficiente.</w:t>
      </w:r>
    </w:p>
    <w:p w14:paraId="55B84859" w14:textId="35114DDF" w:rsidR="003F34D6" w:rsidRPr="007D6E0D" w:rsidRDefault="00562F4C" w:rsidP="003F34D6">
      <w:pPr>
        <w:pStyle w:val="corpodeltesto"/>
        <w:spacing w:before="0" w:beforeAutospacing="0" w:after="225" w:afterAutospacing="0"/>
        <w:rPr>
          <w:rFonts w:ascii="Tahoma" w:hAnsi="Tahoma" w:cs="Tahoma"/>
          <w:sz w:val="20"/>
          <w:szCs w:val="20"/>
        </w:rPr>
      </w:pPr>
      <w:r w:rsidRPr="007D6E0D">
        <w:rPr>
          <w:rFonts w:ascii="Tahoma" w:hAnsi="Tahoma" w:cs="Tahoma"/>
          <w:sz w:val="20"/>
          <w:szCs w:val="20"/>
        </w:rPr>
        <w:t>(2</w:t>
      </w:r>
      <w:r w:rsidR="003F34D6" w:rsidRPr="007D6E0D">
        <w:rPr>
          <w:rFonts w:ascii="Tahoma" w:hAnsi="Tahoma" w:cs="Tahoma"/>
          <w:sz w:val="20"/>
          <w:szCs w:val="20"/>
        </w:rPr>
        <w:t>) Le deliberazioni devono quindi essere approvate dall’assemblea con un numero di voti che rappresenti la maggi</w:t>
      </w:r>
      <w:r w:rsidR="003F34D6" w:rsidRPr="007D6E0D">
        <w:rPr>
          <w:rFonts w:ascii="Tahoma" w:hAnsi="Tahoma" w:cs="Tahoma"/>
          <w:sz w:val="20"/>
          <w:szCs w:val="20"/>
        </w:rPr>
        <w:t>o</w:t>
      </w:r>
      <w:r w:rsidR="003F34D6" w:rsidRPr="007D6E0D">
        <w:rPr>
          <w:rFonts w:ascii="Tahoma" w:hAnsi="Tahoma" w:cs="Tahoma"/>
          <w:sz w:val="20"/>
          <w:szCs w:val="20"/>
        </w:rPr>
        <w:t>ranza degli intervenuti ed almeno la metà del valore dell’edificio.</w:t>
      </w:r>
    </w:p>
    <w:p w14:paraId="55A119DB" w14:textId="07662D94" w:rsidR="003F34D6" w:rsidRPr="007D6E0D" w:rsidRDefault="00562F4C" w:rsidP="003F34D6">
      <w:pPr>
        <w:pStyle w:val="Titolo2"/>
        <w:spacing w:before="45" w:after="96"/>
        <w:rPr>
          <w:rFonts w:ascii="Tahoma" w:hAnsi="Tahoma" w:cs="Tahoma"/>
          <w:color w:val="auto"/>
          <w:sz w:val="22"/>
          <w:szCs w:val="22"/>
        </w:rPr>
      </w:pPr>
      <w:r w:rsidRPr="007D6E0D">
        <w:rPr>
          <w:rFonts w:ascii="Tahoma" w:hAnsi="Tahoma" w:cs="Tahoma"/>
          <w:color w:val="auto"/>
          <w:sz w:val="22"/>
          <w:szCs w:val="22"/>
        </w:rPr>
        <w:t>A</w:t>
      </w:r>
      <w:r w:rsidR="003F34D6" w:rsidRPr="007D6E0D">
        <w:rPr>
          <w:rFonts w:ascii="Tahoma" w:hAnsi="Tahoma" w:cs="Tahoma"/>
          <w:color w:val="auto"/>
          <w:sz w:val="22"/>
          <w:szCs w:val="22"/>
        </w:rPr>
        <w:t>rt. 1130 Codice Civile</w:t>
      </w:r>
    </w:p>
    <w:p w14:paraId="173A15DF" w14:textId="5E686EA8" w:rsidR="003F34D6" w:rsidRPr="007D6E0D" w:rsidRDefault="003F34D6" w:rsidP="003F34D6">
      <w:pPr>
        <w:pStyle w:val="corpodeltesto"/>
        <w:spacing w:before="0" w:beforeAutospacing="0" w:after="225" w:afterAutospacing="0"/>
        <w:rPr>
          <w:rFonts w:ascii="Tahoma" w:hAnsi="Tahoma" w:cs="Tahoma"/>
          <w:i/>
          <w:sz w:val="21"/>
          <w:szCs w:val="21"/>
        </w:rPr>
      </w:pPr>
      <w:r w:rsidRPr="007D6E0D">
        <w:rPr>
          <w:rFonts w:ascii="Tahoma" w:hAnsi="Tahoma" w:cs="Tahoma"/>
          <w:i/>
          <w:sz w:val="21"/>
          <w:szCs w:val="21"/>
        </w:rPr>
        <w:t>L'</w:t>
      </w:r>
      <w:hyperlink r:id="rId9" w:tooltip="Dizionario Giuridico: Amministratore (condominio)" w:history="1">
        <w:r w:rsidRPr="007D6E0D">
          <w:rPr>
            <w:rStyle w:val="Collegamentoipertestuale"/>
            <w:rFonts w:ascii="Tahoma" w:hAnsi="Tahoma" w:cs="Tahoma"/>
            <w:i/>
            <w:color w:val="auto"/>
            <w:sz w:val="21"/>
            <w:szCs w:val="21"/>
            <w:u w:val="none"/>
          </w:rPr>
          <w:t>amministratore</w:t>
        </w:r>
      </w:hyperlink>
      <w:r w:rsidRPr="007D6E0D">
        <w:rPr>
          <w:rFonts w:ascii="Tahoma" w:hAnsi="Tahoma" w:cs="Tahoma"/>
          <w:i/>
          <w:sz w:val="21"/>
          <w:szCs w:val="21"/>
        </w:rPr>
        <w:t>, oltre a quanto previsto dall'articolo</w:t>
      </w:r>
      <w:r w:rsidRPr="007D6E0D">
        <w:rPr>
          <w:rStyle w:val="apple-converted-space"/>
          <w:rFonts w:ascii="Tahoma" w:hAnsi="Tahoma" w:cs="Tahoma"/>
          <w:i/>
          <w:sz w:val="21"/>
          <w:szCs w:val="21"/>
        </w:rPr>
        <w:t> </w:t>
      </w:r>
      <w:hyperlink r:id="rId10" w:tooltip="Nomina, revoca ed obblighi dell'amministratore" w:history="1">
        <w:r w:rsidRPr="007D6E0D">
          <w:rPr>
            <w:rStyle w:val="Collegamentoipertestuale"/>
            <w:rFonts w:ascii="Tahoma" w:hAnsi="Tahoma" w:cs="Tahoma"/>
            <w:i/>
            <w:color w:val="auto"/>
            <w:sz w:val="21"/>
            <w:szCs w:val="21"/>
            <w:u w:val="none"/>
          </w:rPr>
          <w:t>1129</w:t>
        </w:r>
      </w:hyperlink>
      <w:r w:rsidRPr="007D6E0D">
        <w:rPr>
          <w:rStyle w:val="apple-converted-space"/>
          <w:rFonts w:ascii="Tahoma" w:hAnsi="Tahoma" w:cs="Tahoma"/>
          <w:i/>
          <w:sz w:val="21"/>
          <w:szCs w:val="21"/>
        </w:rPr>
        <w:t> </w:t>
      </w:r>
      <w:r w:rsidRPr="007D6E0D">
        <w:rPr>
          <w:rFonts w:ascii="Tahoma" w:hAnsi="Tahoma" w:cs="Tahoma"/>
          <w:i/>
          <w:sz w:val="21"/>
          <w:szCs w:val="21"/>
        </w:rPr>
        <w:t>e dalle vigenti disposizioni di legge, deve:</w:t>
      </w:r>
      <w:r w:rsidRPr="007D6E0D">
        <w:rPr>
          <w:rFonts w:ascii="Tahoma" w:hAnsi="Tahoma" w:cs="Tahoma"/>
          <w:i/>
          <w:sz w:val="21"/>
          <w:szCs w:val="21"/>
        </w:rPr>
        <w:br/>
        <w:t>1) eseguire le deliberazioni dell'assemblea, convocarla annualmente per l'approvazione del rendiconto condom</w:t>
      </w:r>
      <w:r w:rsidRPr="007D6E0D">
        <w:rPr>
          <w:rFonts w:ascii="Tahoma" w:hAnsi="Tahoma" w:cs="Tahoma"/>
          <w:i/>
          <w:sz w:val="21"/>
          <w:szCs w:val="21"/>
        </w:rPr>
        <w:t>i</w:t>
      </w:r>
      <w:r w:rsidRPr="007D6E0D">
        <w:rPr>
          <w:rFonts w:ascii="Tahoma" w:hAnsi="Tahoma" w:cs="Tahoma"/>
          <w:i/>
          <w:sz w:val="21"/>
          <w:szCs w:val="21"/>
        </w:rPr>
        <w:t>niale di cui all'articolo</w:t>
      </w:r>
      <w:r w:rsidRPr="007D6E0D">
        <w:rPr>
          <w:rStyle w:val="apple-converted-space"/>
          <w:rFonts w:ascii="Tahoma" w:hAnsi="Tahoma" w:cs="Tahoma"/>
          <w:i/>
          <w:sz w:val="21"/>
          <w:szCs w:val="21"/>
        </w:rPr>
        <w:t> </w:t>
      </w:r>
      <w:hyperlink r:id="rId11" w:tooltip="Rendiconto condominiale" w:history="1">
        <w:r w:rsidRPr="007D6E0D">
          <w:rPr>
            <w:rStyle w:val="Collegamentoipertestuale"/>
            <w:rFonts w:ascii="Tahoma" w:hAnsi="Tahoma" w:cs="Tahoma"/>
            <w:i/>
            <w:color w:val="auto"/>
            <w:sz w:val="21"/>
            <w:szCs w:val="21"/>
            <w:u w:val="none"/>
          </w:rPr>
          <w:t>1130 bis</w:t>
        </w:r>
      </w:hyperlink>
      <w:r w:rsidRPr="007D6E0D">
        <w:rPr>
          <w:rStyle w:val="apple-converted-space"/>
          <w:rFonts w:ascii="Tahoma" w:hAnsi="Tahoma" w:cs="Tahoma"/>
          <w:i/>
          <w:sz w:val="21"/>
          <w:szCs w:val="21"/>
        </w:rPr>
        <w:t> </w:t>
      </w:r>
      <w:r w:rsidRPr="007D6E0D">
        <w:rPr>
          <w:rFonts w:ascii="Tahoma" w:hAnsi="Tahoma" w:cs="Tahoma"/>
          <w:i/>
          <w:sz w:val="21"/>
          <w:szCs w:val="21"/>
        </w:rPr>
        <w:t>e curare l'osservanza del regolamento di condominio;</w:t>
      </w:r>
      <w:r w:rsidRPr="007D6E0D">
        <w:rPr>
          <w:rFonts w:ascii="Tahoma" w:hAnsi="Tahoma" w:cs="Tahoma"/>
          <w:i/>
          <w:sz w:val="21"/>
          <w:szCs w:val="21"/>
        </w:rPr>
        <w:br/>
        <w:t>2) disciplinare l'uso delle cose comuni e la fruizione dei servizi nell'interesse comune, in modo che ne sia assic</w:t>
      </w:r>
      <w:r w:rsidRPr="007D6E0D">
        <w:rPr>
          <w:rFonts w:ascii="Tahoma" w:hAnsi="Tahoma" w:cs="Tahoma"/>
          <w:i/>
          <w:sz w:val="21"/>
          <w:szCs w:val="21"/>
        </w:rPr>
        <w:t>u</w:t>
      </w:r>
      <w:r w:rsidRPr="007D6E0D">
        <w:rPr>
          <w:rFonts w:ascii="Tahoma" w:hAnsi="Tahoma" w:cs="Tahoma"/>
          <w:i/>
          <w:sz w:val="21"/>
          <w:szCs w:val="21"/>
        </w:rPr>
        <w:t>rato il miglior godimento a ciascuno dei condomini;</w:t>
      </w:r>
      <w:r w:rsidRPr="007D6E0D">
        <w:rPr>
          <w:rFonts w:ascii="Tahoma" w:hAnsi="Tahoma" w:cs="Tahoma"/>
          <w:i/>
          <w:sz w:val="21"/>
          <w:szCs w:val="21"/>
        </w:rPr>
        <w:br/>
        <w:t>3) riscuotere i contributi</w:t>
      </w:r>
      <w:r w:rsidRPr="007D6E0D">
        <w:rPr>
          <w:rStyle w:val="apple-converted-space"/>
          <w:rFonts w:ascii="Tahoma" w:hAnsi="Tahoma" w:cs="Tahoma"/>
          <w:i/>
          <w:sz w:val="21"/>
          <w:szCs w:val="21"/>
        </w:rPr>
        <w:t> </w:t>
      </w:r>
      <w:r w:rsidRPr="007D6E0D">
        <w:rPr>
          <w:rFonts w:ascii="Tahoma" w:hAnsi="Tahoma" w:cs="Tahoma"/>
          <w:i/>
          <w:sz w:val="21"/>
          <w:szCs w:val="21"/>
        </w:rPr>
        <w:t>ed erogare le spese occorrenti per la manutenzione ordinaria delle parti comuni dell'ed</w:t>
      </w:r>
      <w:r w:rsidRPr="007D6E0D">
        <w:rPr>
          <w:rFonts w:ascii="Tahoma" w:hAnsi="Tahoma" w:cs="Tahoma"/>
          <w:i/>
          <w:sz w:val="21"/>
          <w:szCs w:val="21"/>
        </w:rPr>
        <w:t>i</w:t>
      </w:r>
      <w:r w:rsidRPr="007D6E0D">
        <w:rPr>
          <w:rFonts w:ascii="Tahoma" w:hAnsi="Tahoma" w:cs="Tahoma"/>
          <w:i/>
          <w:sz w:val="21"/>
          <w:szCs w:val="21"/>
        </w:rPr>
        <w:t>ficio e per l'esercizio dei servizi comuni;</w:t>
      </w:r>
      <w:r w:rsidRPr="007D6E0D">
        <w:rPr>
          <w:rFonts w:ascii="Tahoma" w:hAnsi="Tahoma" w:cs="Tahoma"/>
          <w:i/>
          <w:sz w:val="21"/>
          <w:szCs w:val="21"/>
        </w:rPr>
        <w:br/>
        <w:t>4) compiere gli atti conservativi</w:t>
      </w:r>
      <w:r w:rsidRPr="007D6E0D">
        <w:rPr>
          <w:rStyle w:val="apple-converted-space"/>
          <w:rFonts w:ascii="Tahoma" w:hAnsi="Tahoma" w:cs="Tahoma"/>
          <w:i/>
          <w:sz w:val="21"/>
          <w:szCs w:val="21"/>
        </w:rPr>
        <w:t> </w:t>
      </w:r>
      <w:r w:rsidRPr="007D6E0D">
        <w:rPr>
          <w:rFonts w:ascii="Tahoma" w:hAnsi="Tahoma" w:cs="Tahoma"/>
          <w:i/>
          <w:sz w:val="21"/>
          <w:szCs w:val="21"/>
        </w:rPr>
        <w:t>relativi alle parti comuni dell'edificio;</w:t>
      </w:r>
      <w:r w:rsidRPr="007D6E0D">
        <w:rPr>
          <w:rFonts w:ascii="Tahoma" w:hAnsi="Tahoma" w:cs="Tahoma"/>
          <w:i/>
          <w:sz w:val="21"/>
          <w:szCs w:val="21"/>
        </w:rPr>
        <w:br/>
        <w:t>5) eseguire gli adempimenti fiscali;</w:t>
      </w:r>
      <w:r w:rsidRPr="007D6E0D">
        <w:rPr>
          <w:rFonts w:ascii="Tahoma" w:hAnsi="Tahoma" w:cs="Tahoma"/>
          <w:i/>
          <w:sz w:val="21"/>
          <w:szCs w:val="21"/>
        </w:rPr>
        <w:br/>
        <w:t>6) curare la tenuta del</w:t>
      </w:r>
      <w:r w:rsidRPr="007D6E0D">
        <w:rPr>
          <w:rStyle w:val="apple-converted-space"/>
          <w:rFonts w:ascii="Tahoma" w:hAnsi="Tahoma" w:cs="Tahoma"/>
          <w:i/>
          <w:sz w:val="21"/>
          <w:szCs w:val="21"/>
        </w:rPr>
        <w:t> </w:t>
      </w:r>
      <w:hyperlink r:id="rId12" w:tooltip="Dizionario Giuridico: Registro dell'anagrafe condominiale" w:history="1">
        <w:r w:rsidRPr="007D6E0D">
          <w:rPr>
            <w:rStyle w:val="Collegamentoipertestuale"/>
            <w:rFonts w:ascii="Tahoma" w:hAnsi="Tahoma" w:cs="Tahoma"/>
            <w:i/>
            <w:color w:val="auto"/>
            <w:sz w:val="21"/>
            <w:szCs w:val="21"/>
            <w:u w:val="none"/>
          </w:rPr>
          <w:t>registro di anagrafe condominiale</w:t>
        </w:r>
      </w:hyperlink>
      <w:r w:rsidRPr="007D6E0D">
        <w:rPr>
          <w:rStyle w:val="apple-converted-space"/>
          <w:rFonts w:ascii="Tahoma" w:hAnsi="Tahoma" w:cs="Tahoma"/>
          <w:i/>
          <w:sz w:val="21"/>
          <w:szCs w:val="21"/>
        </w:rPr>
        <w:t> </w:t>
      </w:r>
      <w:r w:rsidRPr="007D6E0D">
        <w:rPr>
          <w:rFonts w:ascii="Tahoma" w:hAnsi="Tahoma" w:cs="Tahoma"/>
          <w:i/>
          <w:sz w:val="21"/>
          <w:szCs w:val="21"/>
        </w:rPr>
        <w:t>contenente le generalità dei singoli proprietari e dei t</w:t>
      </w:r>
      <w:r w:rsidRPr="007D6E0D">
        <w:rPr>
          <w:rFonts w:ascii="Tahoma" w:hAnsi="Tahoma" w:cs="Tahoma"/>
          <w:i/>
          <w:sz w:val="21"/>
          <w:szCs w:val="21"/>
        </w:rPr>
        <w:t>i</w:t>
      </w:r>
      <w:r w:rsidRPr="007D6E0D">
        <w:rPr>
          <w:rFonts w:ascii="Tahoma" w:hAnsi="Tahoma" w:cs="Tahoma"/>
          <w:i/>
          <w:sz w:val="21"/>
          <w:szCs w:val="21"/>
        </w:rPr>
        <w:t>tolari di diritti reali e di diritti personali di godimento, comprensive del codice fiscale e della residenza o domic</w:t>
      </w:r>
      <w:r w:rsidRPr="007D6E0D">
        <w:rPr>
          <w:rFonts w:ascii="Tahoma" w:hAnsi="Tahoma" w:cs="Tahoma"/>
          <w:i/>
          <w:sz w:val="21"/>
          <w:szCs w:val="21"/>
        </w:rPr>
        <w:t>i</w:t>
      </w:r>
      <w:r w:rsidRPr="007D6E0D">
        <w:rPr>
          <w:rFonts w:ascii="Tahoma" w:hAnsi="Tahoma" w:cs="Tahoma"/>
          <w:i/>
          <w:sz w:val="21"/>
          <w:szCs w:val="21"/>
        </w:rPr>
        <w:t xml:space="preserve">lio, i dati catastali di ciascuna unità immobiliare, nonché ogni dato relativo alle condizioni di sicurezza delle parti comuni dell'edificio. Ogni variazione dei dati deve essere comunicata all'amministratore in forma scritta entro sessanta giorni. L'amministratore, in caso di inerzia, mancanza o incompletezza delle comunicazioni, richiede con </w:t>
      </w:r>
      <w:r w:rsidRPr="007D6E0D">
        <w:rPr>
          <w:rFonts w:ascii="Tahoma" w:hAnsi="Tahoma" w:cs="Tahoma"/>
          <w:i/>
          <w:sz w:val="21"/>
          <w:szCs w:val="21"/>
        </w:rPr>
        <w:lastRenderedPageBreak/>
        <w:t>lettera raccomandata le informazioni necessarie alla tenuta del registro di anagrafe. Decorsi trenta giorni, in c</w:t>
      </w:r>
      <w:r w:rsidRPr="007D6E0D">
        <w:rPr>
          <w:rFonts w:ascii="Tahoma" w:hAnsi="Tahoma" w:cs="Tahoma"/>
          <w:i/>
          <w:sz w:val="21"/>
          <w:szCs w:val="21"/>
        </w:rPr>
        <w:t>a</w:t>
      </w:r>
      <w:r w:rsidRPr="007D6E0D">
        <w:rPr>
          <w:rFonts w:ascii="Tahoma" w:hAnsi="Tahoma" w:cs="Tahoma"/>
          <w:i/>
          <w:sz w:val="21"/>
          <w:szCs w:val="21"/>
        </w:rPr>
        <w:t>so di omessa o incompleta risposta, l'amministratore acquisisce le informazioni necessarie, addebitandone il c</w:t>
      </w:r>
      <w:r w:rsidRPr="007D6E0D">
        <w:rPr>
          <w:rFonts w:ascii="Tahoma" w:hAnsi="Tahoma" w:cs="Tahoma"/>
          <w:i/>
          <w:sz w:val="21"/>
          <w:szCs w:val="21"/>
        </w:rPr>
        <w:t>o</w:t>
      </w:r>
      <w:r w:rsidRPr="007D6E0D">
        <w:rPr>
          <w:rFonts w:ascii="Tahoma" w:hAnsi="Tahoma" w:cs="Tahoma"/>
          <w:i/>
          <w:sz w:val="21"/>
          <w:szCs w:val="21"/>
        </w:rPr>
        <w:t>sto ai responsabili;</w:t>
      </w:r>
      <w:r w:rsidRPr="007D6E0D">
        <w:rPr>
          <w:rFonts w:ascii="Tahoma" w:hAnsi="Tahoma" w:cs="Tahoma"/>
          <w:i/>
          <w:sz w:val="21"/>
          <w:szCs w:val="21"/>
        </w:rPr>
        <w:br/>
        <w:t>7) curare la tenuta del registro dei</w:t>
      </w:r>
      <w:r w:rsidRPr="007D6E0D">
        <w:rPr>
          <w:rStyle w:val="apple-converted-space"/>
          <w:rFonts w:ascii="Tahoma" w:hAnsi="Tahoma" w:cs="Tahoma"/>
          <w:i/>
          <w:sz w:val="21"/>
          <w:szCs w:val="21"/>
        </w:rPr>
        <w:t> </w:t>
      </w:r>
      <w:hyperlink r:id="rId13" w:tooltip="Dizionario Giuridico: Verbale" w:history="1">
        <w:r w:rsidRPr="007D6E0D">
          <w:rPr>
            <w:rStyle w:val="Collegamentoipertestuale"/>
            <w:rFonts w:ascii="Tahoma" w:hAnsi="Tahoma" w:cs="Tahoma"/>
            <w:i/>
            <w:color w:val="auto"/>
            <w:sz w:val="21"/>
            <w:szCs w:val="21"/>
            <w:u w:val="none"/>
          </w:rPr>
          <w:t>verbali</w:t>
        </w:r>
      </w:hyperlink>
      <w:r w:rsidRPr="007D6E0D">
        <w:rPr>
          <w:rStyle w:val="apple-converted-space"/>
          <w:rFonts w:ascii="Tahoma" w:hAnsi="Tahoma" w:cs="Tahoma"/>
          <w:i/>
          <w:sz w:val="21"/>
          <w:szCs w:val="21"/>
        </w:rPr>
        <w:t> </w:t>
      </w:r>
      <w:r w:rsidRPr="007D6E0D">
        <w:rPr>
          <w:rFonts w:ascii="Tahoma" w:hAnsi="Tahoma" w:cs="Tahoma"/>
          <w:i/>
          <w:sz w:val="21"/>
          <w:szCs w:val="21"/>
        </w:rPr>
        <w:t>delle assemblee, del registro di nomina e revoca dell'amministratore e del registro di contabilità. Nel registro dei verbali delle assemblee sono altresì annotate: le eventuali mancate costituzioni dell'assemblea, le deliberazioni nonché le brevi dichiarazioni rese dai condomini che ne hanno fatto richiesta; allo stesso registro è allegato il regolamento di condominio, ove adottato. Nel registro di nomina e r</w:t>
      </w:r>
      <w:r w:rsidRPr="007D6E0D">
        <w:rPr>
          <w:rFonts w:ascii="Tahoma" w:hAnsi="Tahoma" w:cs="Tahoma"/>
          <w:i/>
          <w:sz w:val="21"/>
          <w:szCs w:val="21"/>
        </w:rPr>
        <w:t>e</w:t>
      </w:r>
      <w:r w:rsidRPr="007D6E0D">
        <w:rPr>
          <w:rFonts w:ascii="Tahoma" w:hAnsi="Tahoma" w:cs="Tahoma"/>
          <w:i/>
          <w:sz w:val="21"/>
          <w:szCs w:val="21"/>
        </w:rPr>
        <w:t>voca dell'amministratore sono annotate, in ordine cronologico, le date della nomina e della revoca di ciascun amministratore del condominio, nonché gli estremi del decreto in caso di provvedimento giudiziale. Nel registro di contabilità sono annotati in ordine cronologico, entro trenta giorni da quello dell'effettuazione, i singoli mov</w:t>
      </w:r>
      <w:r w:rsidRPr="007D6E0D">
        <w:rPr>
          <w:rFonts w:ascii="Tahoma" w:hAnsi="Tahoma" w:cs="Tahoma"/>
          <w:i/>
          <w:sz w:val="21"/>
          <w:szCs w:val="21"/>
        </w:rPr>
        <w:t>i</w:t>
      </w:r>
      <w:r w:rsidRPr="007D6E0D">
        <w:rPr>
          <w:rFonts w:ascii="Tahoma" w:hAnsi="Tahoma" w:cs="Tahoma"/>
          <w:i/>
          <w:sz w:val="21"/>
          <w:szCs w:val="21"/>
        </w:rPr>
        <w:t>menti in entrata ed in uscita. Tale registro può tenersi anche con modalità informatizzate;</w:t>
      </w:r>
      <w:r w:rsidRPr="007D6E0D">
        <w:rPr>
          <w:rFonts w:ascii="Tahoma" w:hAnsi="Tahoma" w:cs="Tahoma"/>
          <w:i/>
          <w:sz w:val="21"/>
          <w:szCs w:val="21"/>
        </w:rPr>
        <w:br/>
        <w:t>8) conservare tutta la documentazione inerente alla propria gestione riferibile sia al rapporto con i condomini sia allo stato tecnico-amministrativo dell'edificio e del condominio;</w:t>
      </w:r>
      <w:r w:rsidRPr="007D6E0D">
        <w:rPr>
          <w:rFonts w:ascii="Tahoma" w:hAnsi="Tahoma" w:cs="Tahoma"/>
          <w:i/>
          <w:sz w:val="21"/>
          <w:szCs w:val="21"/>
        </w:rPr>
        <w:br/>
        <w:t>9) fornire al condomino che ne faccia richiesta attestazione relativa allo stato dei pagamenti degli oneri cond</w:t>
      </w:r>
      <w:r w:rsidRPr="007D6E0D">
        <w:rPr>
          <w:rFonts w:ascii="Tahoma" w:hAnsi="Tahoma" w:cs="Tahoma"/>
          <w:i/>
          <w:sz w:val="21"/>
          <w:szCs w:val="21"/>
        </w:rPr>
        <w:t>o</w:t>
      </w:r>
      <w:r w:rsidRPr="007D6E0D">
        <w:rPr>
          <w:rFonts w:ascii="Tahoma" w:hAnsi="Tahoma" w:cs="Tahoma"/>
          <w:i/>
          <w:sz w:val="21"/>
          <w:szCs w:val="21"/>
        </w:rPr>
        <w:t>miniali e delle eventuali liti in corso;</w:t>
      </w:r>
      <w:r w:rsidRPr="007D6E0D">
        <w:rPr>
          <w:rFonts w:ascii="Tahoma" w:hAnsi="Tahoma" w:cs="Tahoma"/>
          <w:i/>
          <w:sz w:val="21"/>
          <w:szCs w:val="21"/>
        </w:rPr>
        <w:br/>
        <w:t>10) redigere il</w:t>
      </w:r>
      <w:r w:rsidRPr="007D6E0D">
        <w:rPr>
          <w:rStyle w:val="apple-converted-space"/>
          <w:rFonts w:ascii="Tahoma" w:hAnsi="Tahoma" w:cs="Tahoma"/>
          <w:i/>
          <w:sz w:val="21"/>
          <w:szCs w:val="21"/>
        </w:rPr>
        <w:t> </w:t>
      </w:r>
      <w:hyperlink r:id="rId14" w:tooltip="Dizionario Giuridico: Rendiconto" w:history="1">
        <w:r w:rsidRPr="007D6E0D">
          <w:rPr>
            <w:rStyle w:val="Collegamentoipertestuale"/>
            <w:rFonts w:ascii="Tahoma" w:hAnsi="Tahoma" w:cs="Tahoma"/>
            <w:i/>
            <w:color w:val="auto"/>
            <w:sz w:val="21"/>
            <w:szCs w:val="21"/>
            <w:u w:val="none"/>
          </w:rPr>
          <w:t>rendiconto</w:t>
        </w:r>
      </w:hyperlink>
      <w:r w:rsidRPr="007D6E0D">
        <w:rPr>
          <w:rStyle w:val="apple-converted-space"/>
          <w:rFonts w:ascii="Tahoma" w:hAnsi="Tahoma" w:cs="Tahoma"/>
          <w:i/>
          <w:sz w:val="21"/>
          <w:szCs w:val="21"/>
        </w:rPr>
        <w:t> </w:t>
      </w:r>
      <w:r w:rsidRPr="007D6E0D">
        <w:rPr>
          <w:rFonts w:ascii="Tahoma" w:hAnsi="Tahoma" w:cs="Tahoma"/>
          <w:i/>
          <w:sz w:val="21"/>
          <w:szCs w:val="21"/>
        </w:rPr>
        <w:t>condominiale annuale della gestione e convocare l'assemblea per la relativa approv</w:t>
      </w:r>
      <w:r w:rsidRPr="007D6E0D">
        <w:rPr>
          <w:rFonts w:ascii="Tahoma" w:hAnsi="Tahoma" w:cs="Tahoma"/>
          <w:i/>
          <w:sz w:val="21"/>
          <w:szCs w:val="21"/>
        </w:rPr>
        <w:t>a</w:t>
      </w:r>
      <w:r w:rsidRPr="007D6E0D">
        <w:rPr>
          <w:rFonts w:ascii="Tahoma" w:hAnsi="Tahoma" w:cs="Tahoma"/>
          <w:i/>
          <w:sz w:val="21"/>
          <w:szCs w:val="21"/>
        </w:rPr>
        <w:t>zione entro centottanta giorni.</w:t>
      </w:r>
      <w:bookmarkStart w:id="0" w:name="_GoBack"/>
      <w:bookmarkEnd w:id="0"/>
    </w:p>
    <w:sectPr w:rsidR="003F34D6" w:rsidRPr="007D6E0D" w:rsidSect="00BA03F6">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215FF" w14:textId="77777777" w:rsidR="00FD3281" w:rsidRDefault="00FD3281">
      <w:pPr>
        <w:spacing w:after="0" w:line="240" w:lineRule="auto"/>
      </w:pPr>
      <w:r>
        <w:separator/>
      </w:r>
    </w:p>
  </w:endnote>
  <w:endnote w:type="continuationSeparator" w:id="0">
    <w:p w14:paraId="278E2DEC" w14:textId="77777777" w:rsidR="00FD3281" w:rsidRDefault="00FD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charset w:val="00"/>
    <w:family w:val="auto"/>
    <w:pitch w:val="default"/>
  </w:font>
  <w:font w:name="Verdana">
    <w:altName w:val="Verdana"/>
    <w:panose1 w:val="020B0604030504040204"/>
    <w:charset w:val="00"/>
    <w:family w:val="swiss"/>
    <w:pitch w:val="variable"/>
    <w:sig w:usb0="A10006FF" w:usb1="4000205B" w:usb2="0000001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B7127" w14:textId="77777777" w:rsidR="00FD3281" w:rsidRDefault="00FD3281">
      <w:pPr>
        <w:spacing w:after="0" w:line="240" w:lineRule="auto"/>
      </w:pPr>
      <w:r>
        <w:rPr>
          <w:color w:val="000000"/>
        </w:rPr>
        <w:separator/>
      </w:r>
    </w:p>
  </w:footnote>
  <w:footnote w:type="continuationSeparator" w:id="0">
    <w:p w14:paraId="5F0DB638" w14:textId="77777777" w:rsidR="00FD3281" w:rsidRDefault="00FD3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2E7"/>
    <w:multiLevelType w:val="hybridMultilevel"/>
    <w:tmpl w:val="DF56678A"/>
    <w:lvl w:ilvl="0" w:tplc="E6DC46BA">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8A14B92"/>
    <w:multiLevelType w:val="hybridMultilevel"/>
    <w:tmpl w:val="AC0E0A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513ABB"/>
    <w:multiLevelType w:val="multilevel"/>
    <w:tmpl w:val="9AD6767E"/>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nsid w:val="10C63D3C"/>
    <w:multiLevelType w:val="multilevel"/>
    <w:tmpl w:val="B1DE29B8"/>
    <w:styleLink w:val="WWNum10"/>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1BF42794"/>
    <w:multiLevelType w:val="multilevel"/>
    <w:tmpl w:val="3E6864F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nsid w:val="25EC1913"/>
    <w:multiLevelType w:val="hybridMultilevel"/>
    <w:tmpl w:val="35B48868"/>
    <w:lvl w:ilvl="0" w:tplc="8F7C29C8">
      <w:numFmt w:val="bullet"/>
      <w:lvlText w:val="-"/>
      <w:lvlJc w:val="left"/>
      <w:pPr>
        <w:ind w:left="720" w:hanging="360"/>
      </w:pPr>
      <w:rPr>
        <w:rFonts w:ascii="Calibri" w:eastAsia="Lucida Sans Unicode"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F2185E"/>
    <w:multiLevelType w:val="multilevel"/>
    <w:tmpl w:val="ECBC8042"/>
    <w:styleLink w:val="WWNum8"/>
    <w:lvl w:ilvl="0">
      <w:numFmt w:val="bullet"/>
      <w:lvlText w:val="-"/>
      <w:lvlJc w:val="left"/>
      <w:rPr>
        <w:rFonts w:ascii="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
    <w:nsid w:val="2B604423"/>
    <w:multiLevelType w:val="multilevel"/>
    <w:tmpl w:val="7054D5EE"/>
    <w:styleLink w:val="WWNum6"/>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
    <w:nsid w:val="2D4F5BD1"/>
    <w:multiLevelType w:val="multilevel"/>
    <w:tmpl w:val="32488490"/>
    <w:styleLink w:val="WWNum2"/>
    <w:lvl w:ilvl="0">
      <w:numFmt w:val="bullet"/>
      <w:lvlText w:val="-"/>
      <w:lvlJc w:val="left"/>
      <w:rPr>
        <w:rFonts w:ascii="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
    <w:nsid w:val="2EF227EA"/>
    <w:multiLevelType w:val="hybridMultilevel"/>
    <w:tmpl w:val="672A4B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A965492"/>
    <w:multiLevelType w:val="multilevel"/>
    <w:tmpl w:val="7854A6BE"/>
    <w:styleLink w:val="WWNum5"/>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1">
    <w:nsid w:val="3AF8017D"/>
    <w:multiLevelType w:val="multilevel"/>
    <w:tmpl w:val="8562A134"/>
    <w:styleLink w:val="WWNum1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nsid w:val="3EDD5660"/>
    <w:multiLevelType w:val="hybridMultilevel"/>
    <w:tmpl w:val="D75EDD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B43E2C"/>
    <w:multiLevelType w:val="multilevel"/>
    <w:tmpl w:val="B65A45FC"/>
    <w:styleLink w:val="WWNum7"/>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nsid w:val="52A25FEF"/>
    <w:multiLevelType w:val="hybridMultilevel"/>
    <w:tmpl w:val="3DF41194"/>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585031C6"/>
    <w:multiLevelType w:val="hybridMultilevel"/>
    <w:tmpl w:val="FB881A16"/>
    <w:lvl w:ilvl="0" w:tplc="C71E7A7A">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1955D3F"/>
    <w:multiLevelType w:val="multilevel"/>
    <w:tmpl w:val="EB3ACF86"/>
    <w:styleLink w:val="WWNum1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nsid w:val="646A0046"/>
    <w:multiLevelType w:val="hybridMultilevel"/>
    <w:tmpl w:val="4736606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8206194"/>
    <w:multiLevelType w:val="multilevel"/>
    <w:tmpl w:val="80526CAA"/>
    <w:styleLink w:val="WWNum9"/>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nsid w:val="76167B29"/>
    <w:multiLevelType w:val="multilevel"/>
    <w:tmpl w:val="280014F4"/>
    <w:styleLink w:val="WWNum1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791C6F01"/>
    <w:multiLevelType w:val="multilevel"/>
    <w:tmpl w:val="A74221CE"/>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nsid w:val="7B3166F6"/>
    <w:multiLevelType w:val="multilevel"/>
    <w:tmpl w:val="4B44F46C"/>
    <w:styleLink w:val="WWNum12"/>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nsid w:val="7BAA08A2"/>
    <w:multiLevelType w:val="hybridMultilevel"/>
    <w:tmpl w:val="CBE0D64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20"/>
  </w:num>
  <w:num w:numId="4">
    <w:abstractNumId w:val="4"/>
  </w:num>
  <w:num w:numId="5">
    <w:abstractNumId w:val="10"/>
  </w:num>
  <w:num w:numId="6">
    <w:abstractNumId w:val="7"/>
  </w:num>
  <w:num w:numId="7">
    <w:abstractNumId w:val="13"/>
  </w:num>
  <w:num w:numId="8">
    <w:abstractNumId w:val="6"/>
  </w:num>
  <w:num w:numId="9">
    <w:abstractNumId w:val="18"/>
  </w:num>
  <w:num w:numId="10">
    <w:abstractNumId w:val="3"/>
  </w:num>
  <w:num w:numId="11">
    <w:abstractNumId w:val="16"/>
  </w:num>
  <w:num w:numId="12">
    <w:abstractNumId w:val="21"/>
  </w:num>
  <w:num w:numId="13">
    <w:abstractNumId w:val="11"/>
  </w:num>
  <w:num w:numId="14">
    <w:abstractNumId w:val="19"/>
  </w:num>
  <w:num w:numId="15">
    <w:abstractNumId w:val="15"/>
  </w:num>
  <w:num w:numId="16">
    <w:abstractNumId w:val="1"/>
  </w:num>
  <w:num w:numId="17">
    <w:abstractNumId w:val="12"/>
  </w:num>
  <w:num w:numId="18">
    <w:abstractNumId w:val="22"/>
  </w:num>
  <w:num w:numId="19">
    <w:abstractNumId w:val="14"/>
  </w:num>
  <w:num w:numId="20">
    <w:abstractNumId w:val="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9"/>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F7C71"/>
    <w:rsid w:val="0000088E"/>
    <w:rsid w:val="00037B9F"/>
    <w:rsid w:val="00054A0C"/>
    <w:rsid w:val="00065908"/>
    <w:rsid w:val="000806A1"/>
    <w:rsid w:val="000965AB"/>
    <w:rsid w:val="000A2C5E"/>
    <w:rsid w:val="00124FBB"/>
    <w:rsid w:val="00182852"/>
    <w:rsid w:val="001A1E7B"/>
    <w:rsid w:val="00324267"/>
    <w:rsid w:val="00353337"/>
    <w:rsid w:val="003A6DF0"/>
    <w:rsid w:val="003D7E26"/>
    <w:rsid w:val="003F34D6"/>
    <w:rsid w:val="003F7C71"/>
    <w:rsid w:val="0041332F"/>
    <w:rsid w:val="00480B60"/>
    <w:rsid w:val="00491870"/>
    <w:rsid w:val="004D240B"/>
    <w:rsid w:val="004F4E2C"/>
    <w:rsid w:val="0050585D"/>
    <w:rsid w:val="00553D6A"/>
    <w:rsid w:val="00562F4C"/>
    <w:rsid w:val="0057739A"/>
    <w:rsid w:val="00593907"/>
    <w:rsid w:val="005A6902"/>
    <w:rsid w:val="005C58D2"/>
    <w:rsid w:val="00613458"/>
    <w:rsid w:val="00675B74"/>
    <w:rsid w:val="00724F18"/>
    <w:rsid w:val="007A288F"/>
    <w:rsid w:val="007D6E0D"/>
    <w:rsid w:val="00837411"/>
    <w:rsid w:val="008434C3"/>
    <w:rsid w:val="008C07C5"/>
    <w:rsid w:val="008C7399"/>
    <w:rsid w:val="008D325A"/>
    <w:rsid w:val="008E5C93"/>
    <w:rsid w:val="00925974"/>
    <w:rsid w:val="00930F96"/>
    <w:rsid w:val="00A05740"/>
    <w:rsid w:val="00A24356"/>
    <w:rsid w:val="00A91837"/>
    <w:rsid w:val="00AD7A12"/>
    <w:rsid w:val="00B220F7"/>
    <w:rsid w:val="00B74BF9"/>
    <w:rsid w:val="00BA03F6"/>
    <w:rsid w:val="00CB4A88"/>
    <w:rsid w:val="00CE130F"/>
    <w:rsid w:val="00D42EEF"/>
    <w:rsid w:val="00D91B19"/>
    <w:rsid w:val="00E61E0E"/>
    <w:rsid w:val="00E811AD"/>
    <w:rsid w:val="00E92FEB"/>
    <w:rsid w:val="00EC55D3"/>
    <w:rsid w:val="00EF0983"/>
    <w:rsid w:val="00F3244F"/>
    <w:rsid w:val="00F3623C"/>
    <w:rsid w:val="00F46283"/>
    <w:rsid w:val="00F76CFC"/>
    <w:rsid w:val="00FA5C2A"/>
    <w:rsid w:val="00FD1A19"/>
    <w:rsid w:val="00FD3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keepNext/>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semiHidden/>
    <w:unhideWhenUsed/>
    <w:qFormat/>
    <w:rsid w:val="003F3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F34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style>
  <w:style w:type="paragraph" w:styleId="Nessunaspaziatura">
    <w:name w:val="No Spacing"/>
    <w:pPr>
      <w:suppressAutoHyphens/>
    </w:pPr>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Internetlink">
    <w:name w:val="Internet link"/>
    <w:basedOn w:val="Carpredefinitoparagrafo"/>
    <w:rPr>
      <w:color w:val="0000FF"/>
      <w:u w:val="single"/>
    </w:rPr>
  </w:style>
  <w:style w:type="character" w:customStyle="1" w:styleId="Titolo1Carattere">
    <w:name w:val="Titolo 1 Carattere"/>
    <w:basedOn w:val="Carpredefinitoparagrafo"/>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character" w:styleId="Collegamentoipertestuale">
    <w:name w:val="Hyperlink"/>
    <w:basedOn w:val="Carpredefinitoparagrafo"/>
    <w:uiPriority w:val="99"/>
    <w:unhideWhenUsed/>
    <w:rsid w:val="00FA5C2A"/>
    <w:rPr>
      <w:color w:val="0000FF" w:themeColor="hyperlink"/>
      <w:u w:val="single"/>
    </w:rPr>
  </w:style>
  <w:style w:type="paragraph" w:customStyle="1" w:styleId="Default">
    <w:name w:val="Default"/>
    <w:rsid w:val="00A24356"/>
    <w:pPr>
      <w:widowControl/>
      <w:autoSpaceDE w:val="0"/>
      <w:adjustRightInd w:val="0"/>
      <w:spacing w:after="0" w:line="240" w:lineRule="auto"/>
      <w:textAlignment w:val="auto"/>
    </w:pPr>
    <w:rPr>
      <w:rFonts w:ascii="Verdana" w:hAnsi="Verdana" w:cs="Verdana"/>
      <w:color w:val="000000"/>
      <w:kern w:val="0"/>
      <w:sz w:val="24"/>
      <w:szCs w:val="24"/>
    </w:rPr>
  </w:style>
  <w:style w:type="character" w:customStyle="1" w:styleId="Titolo2Carattere">
    <w:name w:val="Titolo 2 Carattere"/>
    <w:basedOn w:val="Carpredefinitoparagrafo"/>
    <w:link w:val="Titolo2"/>
    <w:uiPriority w:val="9"/>
    <w:semiHidden/>
    <w:rsid w:val="003F34D6"/>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3F34D6"/>
    <w:rPr>
      <w:rFonts w:asciiTheme="majorHAnsi" w:eastAsiaTheme="majorEastAsia" w:hAnsiTheme="majorHAnsi" w:cstheme="majorBidi"/>
      <w:b/>
      <w:bCs/>
      <w:color w:val="4F81BD" w:themeColor="accent1"/>
    </w:rPr>
  </w:style>
  <w:style w:type="character" w:customStyle="1" w:styleId="apple-converted-space">
    <w:name w:val="apple-converted-space"/>
    <w:basedOn w:val="Carpredefinitoparagrafo"/>
    <w:rsid w:val="003F34D6"/>
  </w:style>
  <w:style w:type="paragraph" w:customStyle="1" w:styleId="corpodeltesto">
    <w:name w:val="corpodeltesto"/>
    <w:basedOn w:val="Normale"/>
    <w:rsid w:val="003F34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styleId="Enfasicorsivo">
    <w:name w:val="Emphasis"/>
    <w:basedOn w:val="Carpredefinitoparagrafo"/>
    <w:uiPriority w:val="20"/>
    <w:qFormat/>
    <w:rsid w:val="003F34D6"/>
    <w:rPr>
      <w:i/>
      <w:iCs/>
    </w:rPr>
  </w:style>
  <w:style w:type="character" w:styleId="Enfasigrassetto">
    <w:name w:val="Strong"/>
    <w:basedOn w:val="Carpredefinitoparagrafo"/>
    <w:uiPriority w:val="22"/>
    <w:qFormat/>
    <w:rsid w:val="00CB4A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keepNext/>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semiHidden/>
    <w:unhideWhenUsed/>
    <w:qFormat/>
    <w:rsid w:val="003F34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F34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style>
  <w:style w:type="paragraph" w:styleId="Nessunaspaziatura">
    <w:name w:val="No Spacing"/>
    <w:pPr>
      <w:suppressAutoHyphens/>
    </w:pPr>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Internetlink">
    <w:name w:val="Internet link"/>
    <w:basedOn w:val="Carpredefinitoparagrafo"/>
    <w:rPr>
      <w:color w:val="0000FF"/>
      <w:u w:val="single"/>
    </w:rPr>
  </w:style>
  <w:style w:type="character" w:customStyle="1" w:styleId="Titolo1Carattere">
    <w:name w:val="Titolo 1 Carattere"/>
    <w:basedOn w:val="Carpredefinitoparagrafo"/>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character" w:styleId="Collegamentoipertestuale">
    <w:name w:val="Hyperlink"/>
    <w:basedOn w:val="Carpredefinitoparagrafo"/>
    <w:uiPriority w:val="99"/>
    <w:unhideWhenUsed/>
    <w:rsid w:val="00FA5C2A"/>
    <w:rPr>
      <w:color w:val="0000FF" w:themeColor="hyperlink"/>
      <w:u w:val="single"/>
    </w:rPr>
  </w:style>
  <w:style w:type="paragraph" w:customStyle="1" w:styleId="Default">
    <w:name w:val="Default"/>
    <w:rsid w:val="00A24356"/>
    <w:pPr>
      <w:widowControl/>
      <w:autoSpaceDE w:val="0"/>
      <w:adjustRightInd w:val="0"/>
      <w:spacing w:after="0" w:line="240" w:lineRule="auto"/>
      <w:textAlignment w:val="auto"/>
    </w:pPr>
    <w:rPr>
      <w:rFonts w:ascii="Verdana" w:hAnsi="Verdana" w:cs="Verdana"/>
      <w:color w:val="000000"/>
      <w:kern w:val="0"/>
      <w:sz w:val="24"/>
      <w:szCs w:val="24"/>
    </w:rPr>
  </w:style>
  <w:style w:type="character" w:customStyle="1" w:styleId="Titolo2Carattere">
    <w:name w:val="Titolo 2 Carattere"/>
    <w:basedOn w:val="Carpredefinitoparagrafo"/>
    <w:link w:val="Titolo2"/>
    <w:uiPriority w:val="9"/>
    <w:semiHidden/>
    <w:rsid w:val="003F34D6"/>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3F34D6"/>
    <w:rPr>
      <w:rFonts w:asciiTheme="majorHAnsi" w:eastAsiaTheme="majorEastAsia" w:hAnsiTheme="majorHAnsi" w:cstheme="majorBidi"/>
      <w:b/>
      <w:bCs/>
      <w:color w:val="4F81BD" w:themeColor="accent1"/>
    </w:rPr>
  </w:style>
  <w:style w:type="character" w:customStyle="1" w:styleId="apple-converted-space">
    <w:name w:val="apple-converted-space"/>
    <w:basedOn w:val="Carpredefinitoparagrafo"/>
    <w:rsid w:val="003F34D6"/>
  </w:style>
  <w:style w:type="paragraph" w:customStyle="1" w:styleId="corpodeltesto">
    <w:name w:val="corpodeltesto"/>
    <w:basedOn w:val="Normale"/>
    <w:rsid w:val="003F34D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styleId="Enfasicorsivo">
    <w:name w:val="Emphasis"/>
    <w:basedOn w:val="Carpredefinitoparagrafo"/>
    <w:uiPriority w:val="20"/>
    <w:qFormat/>
    <w:rsid w:val="003F34D6"/>
    <w:rPr>
      <w:i/>
      <w:iCs/>
    </w:rPr>
  </w:style>
  <w:style w:type="character" w:styleId="Enfasigrassetto">
    <w:name w:val="Strong"/>
    <w:basedOn w:val="Carpredefinitoparagrafo"/>
    <w:uiPriority w:val="22"/>
    <w:qFormat/>
    <w:rsid w:val="00CB4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3682">
      <w:bodyDiv w:val="1"/>
      <w:marLeft w:val="0"/>
      <w:marRight w:val="0"/>
      <w:marTop w:val="0"/>
      <w:marBottom w:val="0"/>
      <w:divBdr>
        <w:top w:val="none" w:sz="0" w:space="0" w:color="auto"/>
        <w:left w:val="none" w:sz="0" w:space="0" w:color="auto"/>
        <w:bottom w:val="none" w:sz="0" w:space="0" w:color="auto"/>
        <w:right w:val="none" w:sz="0" w:space="0" w:color="auto"/>
      </w:divBdr>
    </w:div>
    <w:div w:id="619920713">
      <w:bodyDiv w:val="1"/>
      <w:marLeft w:val="0"/>
      <w:marRight w:val="0"/>
      <w:marTop w:val="0"/>
      <w:marBottom w:val="0"/>
      <w:divBdr>
        <w:top w:val="none" w:sz="0" w:space="0" w:color="auto"/>
        <w:left w:val="none" w:sz="0" w:space="0" w:color="auto"/>
        <w:bottom w:val="none" w:sz="0" w:space="0" w:color="auto"/>
        <w:right w:val="none" w:sz="0" w:space="0" w:color="auto"/>
      </w:divBdr>
      <w:divsChild>
        <w:div w:id="431245106">
          <w:marLeft w:val="168"/>
          <w:marRight w:val="0"/>
          <w:marTop w:val="0"/>
          <w:marBottom w:val="225"/>
          <w:divBdr>
            <w:top w:val="none" w:sz="0" w:space="0" w:color="auto"/>
            <w:left w:val="none" w:sz="0" w:space="0" w:color="auto"/>
            <w:bottom w:val="none" w:sz="0" w:space="0" w:color="auto"/>
            <w:right w:val="none" w:sz="0" w:space="0" w:color="auto"/>
          </w:divBdr>
        </w:div>
        <w:div w:id="1749035829">
          <w:marLeft w:val="0"/>
          <w:marRight w:val="0"/>
          <w:marTop w:val="0"/>
          <w:marBottom w:val="0"/>
          <w:divBdr>
            <w:top w:val="none" w:sz="0" w:space="0" w:color="auto"/>
            <w:left w:val="none" w:sz="0" w:space="0" w:color="auto"/>
            <w:bottom w:val="none" w:sz="0" w:space="0" w:color="auto"/>
            <w:right w:val="none" w:sz="0" w:space="0" w:color="auto"/>
          </w:divBdr>
        </w:div>
      </w:divsChild>
    </w:div>
    <w:div w:id="878514808">
      <w:bodyDiv w:val="1"/>
      <w:marLeft w:val="0"/>
      <w:marRight w:val="0"/>
      <w:marTop w:val="0"/>
      <w:marBottom w:val="0"/>
      <w:divBdr>
        <w:top w:val="none" w:sz="0" w:space="0" w:color="auto"/>
        <w:left w:val="none" w:sz="0" w:space="0" w:color="auto"/>
        <w:bottom w:val="none" w:sz="0" w:space="0" w:color="auto"/>
        <w:right w:val="none" w:sz="0" w:space="0" w:color="auto"/>
      </w:divBdr>
      <w:divsChild>
        <w:div w:id="1106192443">
          <w:marLeft w:val="168"/>
          <w:marRight w:val="0"/>
          <w:marTop w:val="0"/>
          <w:marBottom w:val="225"/>
          <w:divBdr>
            <w:top w:val="none" w:sz="0" w:space="0" w:color="auto"/>
            <w:left w:val="none" w:sz="0" w:space="0" w:color="auto"/>
            <w:bottom w:val="none" w:sz="0" w:space="0" w:color="auto"/>
            <w:right w:val="none" w:sz="0" w:space="0" w:color="auto"/>
          </w:divBdr>
        </w:div>
        <w:div w:id="1700277236">
          <w:marLeft w:val="0"/>
          <w:marRight w:val="0"/>
          <w:marTop w:val="0"/>
          <w:marBottom w:val="0"/>
          <w:divBdr>
            <w:top w:val="none" w:sz="0" w:space="0" w:color="auto"/>
            <w:left w:val="none" w:sz="0" w:space="0" w:color="auto"/>
            <w:bottom w:val="none" w:sz="0" w:space="0" w:color="auto"/>
            <w:right w:val="none" w:sz="0" w:space="0" w:color="auto"/>
          </w:divBdr>
        </w:div>
      </w:divsChild>
    </w:div>
    <w:div w:id="1239443974">
      <w:bodyDiv w:val="1"/>
      <w:marLeft w:val="0"/>
      <w:marRight w:val="0"/>
      <w:marTop w:val="0"/>
      <w:marBottom w:val="0"/>
      <w:divBdr>
        <w:top w:val="none" w:sz="0" w:space="0" w:color="auto"/>
        <w:left w:val="none" w:sz="0" w:space="0" w:color="auto"/>
        <w:bottom w:val="none" w:sz="0" w:space="0" w:color="auto"/>
        <w:right w:val="none" w:sz="0" w:space="0" w:color="auto"/>
      </w:divBdr>
      <w:divsChild>
        <w:div w:id="1952322141">
          <w:marLeft w:val="168"/>
          <w:marRight w:val="0"/>
          <w:marTop w:val="0"/>
          <w:marBottom w:val="225"/>
          <w:divBdr>
            <w:top w:val="none" w:sz="0" w:space="0" w:color="auto"/>
            <w:left w:val="none" w:sz="0" w:space="0" w:color="auto"/>
            <w:bottom w:val="none" w:sz="0" w:space="0" w:color="auto"/>
            <w:right w:val="none" w:sz="0" w:space="0" w:color="auto"/>
          </w:divBdr>
        </w:div>
        <w:div w:id="4357149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cardi.it/articoli/1252.html" TargetMode="External"/><Relationship Id="rId13" Type="http://schemas.openxmlformats.org/officeDocument/2006/relationships/hyperlink" Target="http://www.brocardi.it/dizionario/934.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rocardi.it/dizionario/608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ocardi.it/articoli/887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ocardi.it/articoli/1245.html" TargetMode="External"/><Relationship Id="rId4" Type="http://schemas.openxmlformats.org/officeDocument/2006/relationships/settings" Target="settings.xml"/><Relationship Id="rId9" Type="http://schemas.openxmlformats.org/officeDocument/2006/relationships/hyperlink" Target="http://www.brocardi.it/dizionario/1445.html" TargetMode="External"/><Relationship Id="rId14" Type="http://schemas.openxmlformats.org/officeDocument/2006/relationships/hyperlink" Target="http://www.brocardi.it/dizionario/405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1343</Words>
  <Characters>7658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SCALEO</dc:creator>
  <cp:lastModifiedBy>Fujitsu</cp:lastModifiedBy>
  <cp:revision>4</cp:revision>
  <cp:lastPrinted>2008-10-31T13:39:00Z</cp:lastPrinted>
  <dcterms:created xsi:type="dcterms:W3CDTF">2016-03-24T09:58:00Z</dcterms:created>
  <dcterms:modified xsi:type="dcterms:W3CDTF">2016-03-25T16:49:00Z</dcterms:modified>
</cp:coreProperties>
</file>